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CCA4" w14:textId="77777777" w:rsidR="00E34E33" w:rsidRPr="00E34E33" w:rsidRDefault="00E34E33" w:rsidP="00E34E33">
      <w:pPr>
        <w:pStyle w:val="Tit10"/>
        <w:spacing w:before="120" w:after="120"/>
        <w:ind w:left="0" w:firstLine="0"/>
        <w:rPr>
          <w:rFonts w:ascii="Aptos" w:hAnsi="Aptos"/>
          <w:color w:val="201B52"/>
          <w:sz w:val="32"/>
          <w:szCs w:val="32"/>
          <w:lang w:val="en-US"/>
        </w:rPr>
      </w:pPr>
      <w:r w:rsidRPr="00E34E33">
        <w:rPr>
          <w:rFonts w:ascii="Aptos" w:hAnsi="Aptos"/>
          <w:color w:val="201B52"/>
          <w:sz w:val="32"/>
          <w:szCs w:val="32"/>
          <w:lang w:val="en-US"/>
        </w:rPr>
        <w:t>CUSTOMER AND SUPPLIER VERIFICATION PROTOCOL</w:t>
      </w:r>
    </w:p>
    <w:p w14:paraId="0DA7838E" w14:textId="777A907E" w:rsidR="00E34E33" w:rsidRPr="00E34E33" w:rsidRDefault="00E34E33" w:rsidP="00E34E33">
      <w:pPr>
        <w:pStyle w:val="Tit10"/>
        <w:spacing w:before="120" w:after="120"/>
        <w:ind w:left="0" w:firstLine="0"/>
        <w:rPr>
          <w:rFonts w:ascii="Aptos" w:hAnsi="Aptos"/>
          <w:color w:val="201B52"/>
          <w:sz w:val="32"/>
          <w:szCs w:val="32"/>
          <w:lang w:val="en-US"/>
        </w:rPr>
      </w:pPr>
      <w:r w:rsidRPr="00E34E33">
        <w:rPr>
          <w:rFonts w:ascii="Aptos" w:hAnsi="Aptos"/>
          <w:color w:val="201B52"/>
          <w:sz w:val="32"/>
          <w:szCs w:val="32"/>
          <w:lang w:val="en-US"/>
        </w:rPr>
        <w:t>KYC &amp; KYS</w:t>
      </w:r>
    </w:p>
    <w:p w14:paraId="6E6E9E46" w14:textId="77777777" w:rsidR="00E34E33" w:rsidRPr="00E34E33" w:rsidRDefault="00E34E33" w:rsidP="00E34E33">
      <w:pPr>
        <w:spacing w:before="120" w:after="120" w:line="240" w:lineRule="auto"/>
        <w:jc w:val="both"/>
        <w:rPr>
          <w:rFonts w:ascii="Aptos" w:hAnsi="Aptos"/>
          <w:color w:val="201B52"/>
          <w:lang w:val="en-US"/>
        </w:rPr>
      </w:pPr>
    </w:p>
    <w:p w14:paraId="24BACC68" w14:textId="77777777" w:rsidR="00E34E33" w:rsidRPr="00E34E33" w:rsidRDefault="00E34E33" w:rsidP="00E34E33">
      <w:pPr>
        <w:spacing w:before="120" w:after="120" w:line="240" w:lineRule="auto"/>
        <w:jc w:val="both"/>
        <w:rPr>
          <w:rFonts w:ascii="Aptos" w:hAnsi="Aptos"/>
          <w:color w:val="201B52"/>
          <w:lang w:val="en-US"/>
        </w:rPr>
      </w:pPr>
    </w:p>
    <w:p w14:paraId="1D3C86D6" w14:textId="38825FD3" w:rsidR="00E34E33" w:rsidRDefault="00E34E33" w:rsidP="00E34E33">
      <w:pPr>
        <w:pStyle w:val="Prrafodelista"/>
        <w:numPr>
          <w:ilvl w:val="0"/>
          <w:numId w:val="30"/>
        </w:numPr>
        <w:spacing w:before="120" w:after="120"/>
        <w:ind w:left="993" w:hanging="567"/>
        <w:jc w:val="both"/>
        <w:rPr>
          <w:rFonts w:ascii="Aptos" w:hAnsi="Aptos"/>
          <w:color w:val="201B52"/>
          <w:sz w:val="24"/>
          <w:szCs w:val="24"/>
        </w:rPr>
      </w:pPr>
      <w:r w:rsidRPr="00E34E33">
        <w:rPr>
          <w:rFonts w:ascii="Aptos" w:hAnsi="Aptos"/>
          <w:color w:val="201B52"/>
          <w:sz w:val="24"/>
          <w:szCs w:val="24"/>
        </w:rPr>
        <w:t>INTRODUCTION</w:t>
      </w:r>
    </w:p>
    <w:p w14:paraId="1032C981" w14:textId="77777777" w:rsidR="00E34E33" w:rsidRPr="00E34E33" w:rsidRDefault="00E34E33" w:rsidP="00E34E33">
      <w:pPr>
        <w:pStyle w:val="Prrafodelista"/>
        <w:spacing w:before="120" w:after="120"/>
        <w:ind w:left="993"/>
        <w:jc w:val="both"/>
        <w:rPr>
          <w:rFonts w:ascii="Aptos" w:hAnsi="Aptos"/>
          <w:color w:val="201B52"/>
          <w:sz w:val="24"/>
          <w:szCs w:val="24"/>
        </w:rPr>
      </w:pPr>
    </w:p>
    <w:p w14:paraId="360D88CC" w14:textId="77777777" w:rsidR="00E34E33" w:rsidRPr="00E34E33" w:rsidRDefault="00E34E33" w:rsidP="00E34E33">
      <w:pPr>
        <w:pStyle w:val="Prrafodelista"/>
        <w:numPr>
          <w:ilvl w:val="0"/>
          <w:numId w:val="30"/>
        </w:numPr>
        <w:spacing w:before="120" w:after="120"/>
        <w:ind w:left="993" w:hanging="567"/>
        <w:jc w:val="both"/>
        <w:rPr>
          <w:rFonts w:ascii="Aptos" w:hAnsi="Aptos"/>
          <w:color w:val="201B52"/>
          <w:sz w:val="24"/>
          <w:szCs w:val="24"/>
        </w:rPr>
      </w:pPr>
      <w:r w:rsidRPr="00E34E33">
        <w:rPr>
          <w:rFonts w:ascii="Aptos" w:hAnsi="Aptos"/>
          <w:color w:val="201B52"/>
          <w:sz w:val="24"/>
          <w:szCs w:val="24"/>
        </w:rPr>
        <w:t>SCOPE OF APPLICATION</w:t>
      </w:r>
    </w:p>
    <w:p w14:paraId="4045D7C5" w14:textId="77777777" w:rsidR="00E34E33" w:rsidRPr="00E34E33" w:rsidRDefault="00E34E33" w:rsidP="00E34E33">
      <w:pPr>
        <w:pStyle w:val="Prrafodelista"/>
        <w:spacing w:before="120" w:after="120"/>
        <w:jc w:val="both"/>
        <w:rPr>
          <w:rFonts w:ascii="Aptos" w:hAnsi="Aptos"/>
          <w:color w:val="201B52"/>
          <w:sz w:val="24"/>
          <w:szCs w:val="24"/>
        </w:rPr>
      </w:pPr>
    </w:p>
    <w:p w14:paraId="52737C5A" w14:textId="77777777" w:rsidR="00E34E33" w:rsidRPr="00E34E33" w:rsidRDefault="00E34E33" w:rsidP="00E34E33">
      <w:pPr>
        <w:pStyle w:val="Prrafodelista"/>
        <w:numPr>
          <w:ilvl w:val="0"/>
          <w:numId w:val="30"/>
        </w:numPr>
        <w:spacing w:before="120" w:after="120"/>
        <w:ind w:left="993" w:hanging="567"/>
        <w:jc w:val="both"/>
        <w:rPr>
          <w:rFonts w:ascii="Aptos" w:hAnsi="Aptos"/>
          <w:color w:val="201B52"/>
          <w:sz w:val="24"/>
          <w:szCs w:val="24"/>
        </w:rPr>
      </w:pPr>
      <w:r w:rsidRPr="00E34E33">
        <w:rPr>
          <w:rFonts w:ascii="Aptos" w:hAnsi="Aptos"/>
          <w:color w:val="201B52"/>
          <w:sz w:val="24"/>
          <w:szCs w:val="24"/>
        </w:rPr>
        <w:t>OBJECT</w:t>
      </w:r>
    </w:p>
    <w:p w14:paraId="33767617" w14:textId="77777777" w:rsidR="00E34E33" w:rsidRPr="00E34E33" w:rsidRDefault="00E34E33" w:rsidP="00E34E33">
      <w:pPr>
        <w:pStyle w:val="Prrafodelista"/>
        <w:spacing w:before="120" w:after="120"/>
        <w:rPr>
          <w:rFonts w:ascii="Aptos" w:hAnsi="Aptos"/>
          <w:color w:val="201B52"/>
          <w:sz w:val="24"/>
          <w:szCs w:val="24"/>
        </w:rPr>
      </w:pPr>
    </w:p>
    <w:p w14:paraId="7305245B" w14:textId="694DD27B" w:rsidR="00E34E33" w:rsidRPr="00E34E33" w:rsidRDefault="00E34E33" w:rsidP="00E34E33">
      <w:pPr>
        <w:pStyle w:val="Prrafodelista"/>
        <w:numPr>
          <w:ilvl w:val="0"/>
          <w:numId w:val="30"/>
        </w:numPr>
        <w:spacing w:before="120" w:after="120"/>
        <w:ind w:left="993" w:hanging="567"/>
        <w:jc w:val="both"/>
        <w:rPr>
          <w:rFonts w:ascii="Aptos" w:hAnsi="Aptos"/>
          <w:color w:val="201B52"/>
          <w:sz w:val="24"/>
          <w:szCs w:val="24"/>
        </w:rPr>
      </w:pPr>
      <w:r w:rsidRPr="00E34E33">
        <w:rPr>
          <w:rFonts w:ascii="Aptos" w:hAnsi="Aptos"/>
          <w:color w:val="201B52"/>
          <w:sz w:val="24"/>
          <w:szCs w:val="24"/>
        </w:rPr>
        <w:t>PREVENTIVE MEASURES</w:t>
      </w:r>
    </w:p>
    <w:p w14:paraId="1085AB31" w14:textId="77777777" w:rsidR="00E34E33" w:rsidRPr="00E34E33" w:rsidRDefault="00E34E33" w:rsidP="00E34E33">
      <w:pPr>
        <w:pStyle w:val="Prrafodelista"/>
        <w:spacing w:before="120" w:after="120"/>
        <w:ind w:left="993"/>
        <w:jc w:val="both"/>
        <w:rPr>
          <w:rFonts w:ascii="Aptos" w:hAnsi="Aptos"/>
          <w:color w:val="201B52"/>
          <w:sz w:val="24"/>
          <w:szCs w:val="24"/>
        </w:rPr>
      </w:pPr>
    </w:p>
    <w:p w14:paraId="5430F532" w14:textId="77777777" w:rsidR="00E34E33" w:rsidRPr="00E34E33" w:rsidRDefault="00E34E33" w:rsidP="00E34E33">
      <w:pPr>
        <w:pStyle w:val="Prrafodelista"/>
        <w:numPr>
          <w:ilvl w:val="0"/>
          <w:numId w:val="30"/>
        </w:numPr>
        <w:spacing w:before="120" w:after="120"/>
        <w:ind w:left="993" w:hanging="567"/>
        <w:jc w:val="both"/>
        <w:rPr>
          <w:rFonts w:ascii="Aptos" w:hAnsi="Aptos"/>
          <w:color w:val="201B52"/>
          <w:sz w:val="24"/>
          <w:szCs w:val="24"/>
        </w:rPr>
      </w:pPr>
      <w:r w:rsidRPr="00E34E33">
        <w:rPr>
          <w:rFonts w:ascii="Aptos" w:hAnsi="Aptos"/>
          <w:color w:val="201B52"/>
          <w:sz w:val="24"/>
          <w:szCs w:val="24"/>
        </w:rPr>
        <w:t>FORMATION</w:t>
      </w:r>
    </w:p>
    <w:p w14:paraId="753B72DA" w14:textId="77777777" w:rsidR="00E34E33" w:rsidRPr="00E34E33" w:rsidRDefault="00E34E33" w:rsidP="00E34E33">
      <w:pPr>
        <w:pStyle w:val="Prrafodelista"/>
        <w:spacing w:before="120" w:after="120"/>
        <w:rPr>
          <w:rFonts w:ascii="Aptos" w:hAnsi="Aptos"/>
          <w:color w:val="201B52"/>
          <w:sz w:val="24"/>
          <w:szCs w:val="24"/>
        </w:rPr>
      </w:pPr>
    </w:p>
    <w:p w14:paraId="04B2006C" w14:textId="77777777" w:rsidR="00E34E33" w:rsidRPr="00E34E33" w:rsidRDefault="00E34E33" w:rsidP="00E34E33">
      <w:pPr>
        <w:pStyle w:val="Prrafodelista"/>
        <w:numPr>
          <w:ilvl w:val="0"/>
          <w:numId w:val="30"/>
        </w:numPr>
        <w:spacing w:before="120" w:after="120"/>
        <w:ind w:left="993" w:hanging="567"/>
        <w:jc w:val="both"/>
        <w:rPr>
          <w:rFonts w:ascii="Aptos" w:hAnsi="Aptos"/>
          <w:color w:val="201B52"/>
          <w:sz w:val="24"/>
          <w:szCs w:val="24"/>
          <w:lang w:val="en-US"/>
        </w:rPr>
      </w:pPr>
      <w:r w:rsidRPr="00E34E33">
        <w:rPr>
          <w:rFonts w:ascii="Aptos" w:hAnsi="Aptos"/>
          <w:color w:val="201B52"/>
          <w:sz w:val="24"/>
          <w:szCs w:val="24"/>
          <w:lang w:val="en-US"/>
        </w:rPr>
        <w:t>INTERNAL INFORMATION SYSTEM AND WHISTLEBLOWING CHANNEL</w:t>
      </w:r>
    </w:p>
    <w:p w14:paraId="3BC6E003" w14:textId="77777777" w:rsidR="00E34E33" w:rsidRPr="00E34E33" w:rsidRDefault="00E34E33" w:rsidP="00E34E33">
      <w:pPr>
        <w:pStyle w:val="Prrafodelista"/>
        <w:spacing w:before="120" w:after="120"/>
        <w:rPr>
          <w:rFonts w:ascii="Aptos" w:hAnsi="Aptos"/>
          <w:color w:val="201B52"/>
          <w:sz w:val="24"/>
          <w:szCs w:val="24"/>
          <w:lang w:val="en-US"/>
        </w:rPr>
      </w:pPr>
    </w:p>
    <w:p w14:paraId="578CB672" w14:textId="77777777" w:rsidR="00E34E33" w:rsidRPr="00E34E33" w:rsidRDefault="00E34E33" w:rsidP="00E34E33">
      <w:pPr>
        <w:pStyle w:val="Prrafodelista"/>
        <w:numPr>
          <w:ilvl w:val="0"/>
          <w:numId w:val="30"/>
        </w:numPr>
        <w:spacing w:before="120" w:after="120"/>
        <w:ind w:left="993" w:hanging="567"/>
        <w:jc w:val="both"/>
        <w:rPr>
          <w:rFonts w:ascii="Aptos" w:hAnsi="Aptos"/>
          <w:color w:val="201B52"/>
          <w:sz w:val="24"/>
          <w:szCs w:val="24"/>
          <w:lang w:val="en-US"/>
        </w:rPr>
      </w:pPr>
      <w:r w:rsidRPr="00E34E33">
        <w:rPr>
          <w:rFonts w:ascii="Aptos" w:hAnsi="Aptos"/>
          <w:color w:val="201B52"/>
          <w:sz w:val="24"/>
          <w:szCs w:val="24"/>
          <w:lang w:val="en-US"/>
        </w:rPr>
        <w:t>CONSEQUENCES OF NON-COMPLIANCE WITH THE PROTOCOL</w:t>
      </w:r>
    </w:p>
    <w:p w14:paraId="4C4007B5" w14:textId="77777777" w:rsidR="00E34E33" w:rsidRPr="00E34E33" w:rsidRDefault="00E34E33" w:rsidP="00E34E33">
      <w:pPr>
        <w:pStyle w:val="Prrafodelista"/>
        <w:spacing w:before="120" w:after="120"/>
        <w:ind w:left="993" w:hanging="567"/>
        <w:jc w:val="both"/>
        <w:rPr>
          <w:rFonts w:ascii="Aptos" w:hAnsi="Aptos"/>
          <w:color w:val="201B52"/>
          <w:sz w:val="24"/>
          <w:szCs w:val="24"/>
          <w:lang w:val="en-US"/>
        </w:rPr>
      </w:pPr>
    </w:p>
    <w:p w14:paraId="4F7491DB" w14:textId="77777777" w:rsidR="00E34E33" w:rsidRPr="00E34E33" w:rsidRDefault="00E34E33" w:rsidP="00E34E33">
      <w:pPr>
        <w:pStyle w:val="Prrafodelista"/>
        <w:numPr>
          <w:ilvl w:val="0"/>
          <w:numId w:val="30"/>
        </w:numPr>
        <w:spacing w:before="120" w:after="120"/>
        <w:ind w:left="993" w:hanging="567"/>
        <w:jc w:val="both"/>
        <w:rPr>
          <w:rFonts w:ascii="Aptos" w:hAnsi="Aptos"/>
          <w:color w:val="201B52"/>
          <w:sz w:val="24"/>
          <w:szCs w:val="24"/>
        </w:rPr>
      </w:pPr>
      <w:r w:rsidRPr="00E34E33">
        <w:rPr>
          <w:rFonts w:ascii="Aptos" w:hAnsi="Aptos"/>
          <w:color w:val="201B52"/>
          <w:sz w:val="24"/>
          <w:szCs w:val="24"/>
          <w:lang w:val="en-US"/>
        </w:rPr>
        <w:t xml:space="preserve">APPROVAL AND ENTRY INTO FORCE. </w:t>
      </w:r>
      <w:r w:rsidRPr="00E34E33">
        <w:rPr>
          <w:rFonts w:ascii="Aptos" w:hAnsi="Aptos"/>
          <w:color w:val="201B52"/>
          <w:sz w:val="24"/>
          <w:szCs w:val="24"/>
        </w:rPr>
        <w:t>UPDATE</w:t>
      </w:r>
    </w:p>
    <w:p w14:paraId="460C5600" w14:textId="77777777" w:rsidR="00E34E33" w:rsidRPr="00E34E33" w:rsidRDefault="00E34E33" w:rsidP="00E34E33">
      <w:pPr>
        <w:pStyle w:val="Prrafodelista"/>
        <w:spacing w:before="120" w:after="120"/>
        <w:rPr>
          <w:rFonts w:ascii="Aptos" w:hAnsi="Aptos"/>
          <w:color w:val="201B52"/>
          <w:sz w:val="24"/>
          <w:szCs w:val="24"/>
        </w:rPr>
      </w:pPr>
    </w:p>
    <w:p w14:paraId="624C16DD" w14:textId="77777777" w:rsidR="00E34E33" w:rsidRPr="00E34E33" w:rsidRDefault="00E34E33" w:rsidP="00E34E33">
      <w:pPr>
        <w:spacing w:before="120" w:after="120" w:line="240" w:lineRule="auto"/>
        <w:jc w:val="both"/>
        <w:rPr>
          <w:rFonts w:ascii="Aptos" w:hAnsi="Aptos"/>
          <w:color w:val="201B52"/>
          <w:sz w:val="24"/>
        </w:rPr>
      </w:pPr>
    </w:p>
    <w:p w14:paraId="1C160676" w14:textId="77777777" w:rsidR="00E34E33" w:rsidRPr="00E34E33" w:rsidRDefault="00E34E33" w:rsidP="00E34E33">
      <w:pPr>
        <w:spacing w:before="120" w:after="120" w:line="240" w:lineRule="auto"/>
        <w:ind w:firstLine="360"/>
        <w:jc w:val="both"/>
        <w:rPr>
          <w:rFonts w:ascii="Aptos" w:hAnsi="Aptos"/>
          <w:color w:val="201B52"/>
          <w:sz w:val="24"/>
          <w:lang w:val="en-GB"/>
        </w:rPr>
      </w:pPr>
      <w:r w:rsidRPr="00E34E33">
        <w:rPr>
          <w:rFonts w:ascii="Aptos" w:hAnsi="Aptos"/>
          <w:color w:val="201B52"/>
          <w:sz w:val="24"/>
        </w:rPr>
        <w:t xml:space="preserve">ANNEX I </w:t>
      </w:r>
      <w:r w:rsidRPr="00E34E33">
        <w:rPr>
          <w:rFonts w:ascii="Aptos" w:hAnsi="Aptos"/>
          <w:color w:val="201B52"/>
          <w:sz w:val="24"/>
        </w:rPr>
        <w:tab/>
        <w:t>KYC &amp; KYS FORM</w:t>
      </w:r>
    </w:p>
    <w:p w14:paraId="14029F1B" w14:textId="77777777" w:rsidR="00E34E33" w:rsidRPr="00E34E33" w:rsidRDefault="00E34E33" w:rsidP="00E34E33">
      <w:pPr>
        <w:spacing w:before="120" w:after="120" w:line="240" w:lineRule="auto"/>
        <w:jc w:val="both"/>
        <w:rPr>
          <w:rFonts w:ascii="Aptos" w:hAnsi="Aptos"/>
          <w:color w:val="201B52"/>
          <w:sz w:val="24"/>
          <w:lang w:val="en-GB"/>
        </w:rPr>
      </w:pPr>
    </w:p>
    <w:p w14:paraId="439E982A" w14:textId="77777777" w:rsidR="00E34E33" w:rsidRPr="00E34E33" w:rsidRDefault="00E34E33" w:rsidP="00E34E33">
      <w:pPr>
        <w:spacing w:before="120" w:after="120" w:line="240" w:lineRule="auto"/>
        <w:rPr>
          <w:rFonts w:ascii="Aptos" w:hAnsi="Aptos"/>
          <w:color w:val="201B52"/>
          <w:lang w:val="en-GB"/>
        </w:rPr>
      </w:pPr>
      <w:r w:rsidRPr="00E34E33">
        <w:rPr>
          <w:rFonts w:ascii="Aptos" w:hAnsi="Aptos"/>
          <w:color w:val="201B52"/>
        </w:rPr>
        <w:br w:type="page"/>
      </w:r>
    </w:p>
    <w:p w14:paraId="5D408543" w14:textId="4C92B820" w:rsidR="00E34E33" w:rsidRPr="00E34E33" w:rsidRDefault="00E34E33" w:rsidP="00E34E33">
      <w:pPr>
        <w:pStyle w:val="Tit10"/>
        <w:numPr>
          <w:ilvl w:val="0"/>
          <w:numId w:val="31"/>
        </w:numPr>
        <w:spacing w:before="120" w:after="120"/>
        <w:rPr>
          <w:rFonts w:ascii="Aptos" w:hAnsi="Aptos"/>
          <w:color w:val="201B52"/>
        </w:rPr>
      </w:pPr>
      <w:r w:rsidRPr="00E34E33">
        <w:rPr>
          <w:rFonts w:ascii="Aptos" w:hAnsi="Aptos"/>
          <w:color w:val="201B52"/>
        </w:rPr>
        <w:lastRenderedPageBreak/>
        <w:t>INTRODUCTION</w:t>
      </w:r>
    </w:p>
    <w:p w14:paraId="0F454A3D" w14:textId="77777777" w:rsidR="00E34E33" w:rsidRPr="00E34E33" w:rsidRDefault="00E34E33" w:rsidP="00E34E33">
      <w:pPr>
        <w:spacing w:after="0" w:line="240" w:lineRule="auto"/>
        <w:jc w:val="both"/>
        <w:rPr>
          <w:rFonts w:ascii="Aptos" w:hAnsi="Aptos"/>
          <w:color w:val="201B52"/>
          <w:sz w:val="24"/>
          <w:lang w:val="en-US"/>
        </w:rPr>
      </w:pPr>
      <w:r w:rsidRPr="00E34E33">
        <w:rPr>
          <w:rFonts w:ascii="Aptos" w:hAnsi="Aptos"/>
          <w:color w:val="201B52"/>
          <w:sz w:val="24"/>
          <w:lang w:val="en-US"/>
        </w:rPr>
        <w:t>We understand MOLGAS ENERGY GROUP to be the set of commercial companies that belong, directly or indirectly, as subsidiaries (100% of its share capital) or investee (at least 50% of its share capital without reaching 100% of its share capital) to its parent company, a business group that has interests at an international level and that provides comprehensive solutions that facilitate the adoption of Natural Gas as an economic fuel.  clean and sustainable.</w:t>
      </w:r>
    </w:p>
    <w:p w14:paraId="703DB30A" w14:textId="77777777" w:rsidR="00E34E33" w:rsidRPr="00E34E33" w:rsidRDefault="00E34E33" w:rsidP="00E34E33">
      <w:pPr>
        <w:pStyle w:val="Tit10"/>
        <w:ind w:left="0" w:firstLine="0"/>
        <w:rPr>
          <w:rFonts w:ascii="Aptos" w:hAnsi="Aptos"/>
          <w:color w:val="201B52"/>
          <w:lang w:val="en-US"/>
        </w:rPr>
      </w:pPr>
    </w:p>
    <w:p w14:paraId="0A0A7F45" w14:textId="77777777" w:rsidR="00E34E33" w:rsidRPr="00E34E33" w:rsidRDefault="00E34E33" w:rsidP="00E34E33">
      <w:pPr>
        <w:spacing w:after="0" w:line="240" w:lineRule="auto"/>
        <w:jc w:val="both"/>
        <w:rPr>
          <w:rFonts w:ascii="Aptos" w:hAnsi="Aptos"/>
          <w:color w:val="201B52"/>
          <w:sz w:val="24"/>
          <w:lang w:val="en-US"/>
        </w:rPr>
      </w:pPr>
      <w:r w:rsidRPr="00E34E33">
        <w:rPr>
          <w:rFonts w:ascii="Aptos" w:hAnsi="Aptos"/>
          <w:color w:val="201B52"/>
          <w:sz w:val="24"/>
          <w:lang w:val="en-US"/>
        </w:rPr>
        <w:t xml:space="preserve">MOLGAS ENERGY GROUP has implemented a Comprehensive System for the Prevention and Management of Legal and Criminal Risks (Comprehensive Compliance Model) in it and in all its subsidiaries and investees in Spain, as a result of its unequivocal commitment to </w:t>
      </w:r>
      <w:proofErr w:type="spellStart"/>
      <w:r w:rsidRPr="00E34E33">
        <w:rPr>
          <w:rFonts w:ascii="Aptos" w:hAnsi="Aptos"/>
          <w:color w:val="201B52"/>
          <w:sz w:val="24"/>
          <w:lang w:val="en-US"/>
        </w:rPr>
        <w:t>i</w:t>
      </w:r>
      <w:proofErr w:type="spellEnd"/>
      <w:r w:rsidRPr="00E34E33">
        <w:rPr>
          <w:rFonts w:ascii="Aptos" w:hAnsi="Aptos"/>
          <w:color w:val="201B52"/>
          <w:sz w:val="24"/>
          <w:lang w:val="en-US"/>
        </w:rPr>
        <w:t>) compliance with all legal, regulatory and normative precepts that affect them in all areas (administrative,  civil and criminal), ii) compliance with its standards of beliefs, values and behaviors established in its Code of Ethics and iii) zero tolerance to the commission of crimes within the legal entities that make it up.</w:t>
      </w:r>
    </w:p>
    <w:p w14:paraId="4FC13E7A" w14:textId="77777777" w:rsidR="00E34E33" w:rsidRPr="00E34E33" w:rsidRDefault="00E34E33" w:rsidP="00E34E33">
      <w:pPr>
        <w:pStyle w:val="Tit10"/>
        <w:ind w:left="0" w:firstLine="0"/>
        <w:rPr>
          <w:rFonts w:ascii="Aptos" w:hAnsi="Aptos"/>
          <w:b w:val="0"/>
          <w:bCs/>
          <w:color w:val="201B52"/>
          <w:lang w:val="en-US"/>
        </w:rPr>
      </w:pPr>
    </w:p>
    <w:p w14:paraId="4386A1F1" w14:textId="77777777" w:rsidR="00E34E33" w:rsidRPr="00E34E33" w:rsidRDefault="00E34E33" w:rsidP="00E34E33">
      <w:pPr>
        <w:pStyle w:val="Tit10"/>
        <w:ind w:left="0" w:firstLine="0"/>
        <w:rPr>
          <w:rFonts w:ascii="Aptos" w:hAnsi="Aptos"/>
          <w:b w:val="0"/>
          <w:bCs/>
          <w:color w:val="201B52"/>
          <w:lang w:val="en-US"/>
        </w:rPr>
      </w:pPr>
      <w:r w:rsidRPr="00E34E33">
        <w:rPr>
          <w:rFonts w:ascii="Aptos" w:hAnsi="Aptos"/>
          <w:b w:val="0"/>
          <w:bCs/>
          <w:color w:val="201B52"/>
          <w:lang w:val="en-US"/>
        </w:rPr>
        <w:t xml:space="preserve">The international expansion carried out and underway requires the imposition of the above commitments on </w:t>
      </w:r>
      <w:proofErr w:type="gramStart"/>
      <w:r w:rsidRPr="00E34E33">
        <w:rPr>
          <w:rFonts w:ascii="Aptos" w:hAnsi="Aptos"/>
          <w:b w:val="0"/>
          <w:bCs/>
          <w:color w:val="201B52"/>
          <w:lang w:val="en-US"/>
        </w:rPr>
        <w:t>each and every</w:t>
      </w:r>
      <w:proofErr w:type="gramEnd"/>
      <w:r w:rsidRPr="00E34E33">
        <w:rPr>
          <w:rFonts w:ascii="Aptos" w:hAnsi="Aptos"/>
          <w:b w:val="0"/>
          <w:bCs/>
          <w:color w:val="201B52"/>
          <w:lang w:val="en-US"/>
        </w:rPr>
        <w:t xml:space="preserve"> subsidiary and investee legal entity worldwide, whether incorporated or acquired.</w:t>
      </w:r>
    </w:p>
    <w:p w14:paraId="1EFF694E" w14:textId="77777777" w:rsidR="00E34E33" w:rsidRPr="00E34E33" w:rsidRDefault="00E34E33" w:rsidP="00E34E33">
      <w:pPr>
        <w:pStyle w:val="Tit10"/>
        <w:ind w:left="0" w:firstLine="0"/>
        <w:rPr>
          <w:rFonts w:ascii="Aptos" w:hAnsi="Aptos"/>
          <w:b w:val="0"/>
          <w:bCs/>
          <w:color w:val="201B52"/>
          <w:lang w:val="en-US"/>
        </w:rPr>
      </w:pPr>
    </w:p>
    <w:p w14:paraId="47778524" w14:textId="77777777" w:rsidR="00E34E33" w:rsidRPr="00E34E33" w:rsidRDefault="00E34E33" w:rsidP="00E34E33">
      <w:pPr>
        <w:pStyle w:val="Tit10"/>
        <w:ind w:left="0" w:firstLine="0"/>
        <w:rPr>
          <w:rFonts w:ascii="Aptos" w:hAnsi="Aptos"/>
          <w:b w:val="0"/>
          <w:bCs/>
          <w:color w:val="201B52"/>
          <w:lang w:val="en-US"/>
        </w:rPr>
      </w:pPr>
      <w:r w:rsidRPr="00E34E33">
        <w:rPr>
          <w:rFonts w:ascii="Aptos" w:hAnsi="Aptos"/>
          <w:b w:val="0"/>
          <w:bCs/>
          <w:color w:val="201B52"/>
          <w:lang w:val="en-US"/>
        </w:rPr>
        <w:t xml:space="preserve">Being aware that the legal systems of each country incorporate different legal, regulatory and normative aspects, MOLGAS ENERGY GROUP has decided to establish common standards in the field of COMPLIANCE in all the commercial companies that make up MOLGAS ENERGY GROUP, with the subsequent objective of implementing and maintaining, in each of them, the Comprehensive Compliance Model that corresponds to each </w:t>
      </w:r>
      <w:proofErr w:type="gramStart"/>
      <w:r w:rsidRPr="00E34E33">
        <w:rPr>
          <w:rFonts w:ascii="Aptos" w:hAnsi="Aptos"/>
          <w:b w:val="0"/>
          <w:bCs/>
          <w:color w:val="201B52"/>
          <w:lang w:val="en-US"/>
        </w:rPr>
        <w:t>particular legal</w:t>
      </w:r>
      <w:proofErr w:type="gramEnd"/>
      <w:r w:rsidRPr="00E34E33">
        <w:rPr>
          <w:rFonts w:ascii="Aptos" w:hAnsi="Aptos"/>
          <w:b w:val="0"/>
          <w:bCs/>
          <w:color w:val="201B52"/>
          <w:lang w:val="en-US"/>
        </w:rPr>
        <w:t xml:space="preserve"> system.</w:t>
      </w:r>
    </w:p>
    <w:p w14:paraId="4F3B8B92" w14:textId="77777777" w:rsidR="00E34E33" w:rsidRPr="00E34E33" w:rsidRDefault="00E34E33" w:rsidP="00E34E33">
      <w:pPr>
        <w:pStyle w:val="Tit10"/>
        <w:ind w:left="0" w:firstLine="0"/>
        <w:rPr>
          <w:rFonts w:ascii="Aptos" w:hAnsi="Aptos"/>
          <w:b w:val="0"/>
          <w:bCs/>
          <w:color w:val="201B52"/>
          <w:lang w:val="en-US"/>
        </w:rPr>
      </w:pPr>
    </w:p>
    <w:p w14:paraId="3A66438B" w14:textId="77777777" w:rsidR="00E34E33" w:rsidRPr="00E34E33" w:rsidRDefault="00E34E33" w:rsidP="00E34E33">
      <w:pPr>
        <w:pStyle w:val="Tit10"/>
        <w:ind w:left="0" w:firstLine="0"/>
        <w:rPr>
          <w:rFonts w:ascii="Aptos" w:hAnsi="Aptos"/>
          <w:b w:val="0"/>
          <w:bCs/>
          <w:color w:val="201B52"/>
          <w:lang w:val="en-US"/>
        </w:rPr>
      </w:pPr>
      <w:r w:rsidRPr="00E34E33">
        <w:rPr>
          <w:rFonts w:ascii="Aptos" w:hAnsi="Aptos"/>
          <w:b w:val="0"/>
          <w:bCs/>
          <w:color w:val="201B52"/>
          <w:lang w:val="en-US"/>
        </w:rPr>
        <w:t>Thus, this reference of common standards in the field of Compliance is the existing COMPLIANCE HANDBOOK, which is mandatory in each of the commercial companies that make it up.</w:t>
      </w:r>
    </w:p>
    <w:p w14:paraId="003A0DBB" w14:textId="77777777" w:rsidR="00E34E33" w:rsidRPr="00E34E33" w:rsidRDefault="00E34E33" w:rsidP="00E34E33">
      <w:pPr>
        <w:pStyle w:val="Tit10"/>
        <w:ind w:left="0" w:firstLine="0"/>
        <w:rPr>
          <w:rFonts w:ascii="Aptos" w:hAnsi="Aptos"/>
          <w:b w:val="0"/>
          <w:bCs/>
          <w:color w:val="201B52"/>
          <w:lang w:val="en-US"/>
        </w:rPr>
      </w:pPr>
    </w:p>
    <w:p w14:paraId="4E2D776E" w14:textId="77777777" w:rsidR="00E34E33" w:rsidRPr="00E34E33" w:rsidRDefault="00E34E33" w:rsidP="00E34E33">
      <w:pPr>
        <w:spacing w:after="0" w:line="240" w:lineRule="auto"/>
        <w:jc w:val="both"/>
        <w:rPr>
          <w:rFonts w:ascii="Aptos" w:hAnsi="Aptos"/>
          <w:color w:val="201B52"/>
          <w:sz w:val="24"/>
          <w:lang w:val="en-US"/>
        </w:rPr>
      </w:pPr>
      <w:r w:rsidRPr="00E34E33">
        <w:rPr>
          <w:rFonts w:ascii="Aptos" w:hAnsi="Aptos"/>
          <w:color w:val="201B52"/>
          <w:sz w:val="24"/>
          <w:lang w:val="en-US"/>
        </w:rPr>
        <w:t xml:space="preserve">This KYC &amp; KYS Customer and Supplier Verification PROTOCOL develops certain aspects of the MOLGAS ENERGY GROUP's CODE of ETHICS (an element of the </w:t>
      </w:r>
      <w:proofErr w:type="gramStart"/>
      <w:r w:rsidRPr="00E34E33">
        <w:rPr>
          <w:rFonts w:ascii="Aptos" w:hAnsi="Aptos"/>
          <w:color w:val="201B52"/>
          <w:sz w:val="24"/>
          <w:lang w:val="en-US"/>
        </w:rPr>
        <w:t>aforementioned Compliance</w:t>
      </w:r>
      <w:proofErr w:type="gramEnd"/>
      <w:r w:rsidRPr="00E34E33">
        <w:rPr>
          <w:rFonts w:ascii="Aptos" w:hAnsi="Aptos"/>
          <w:color w:val="201B52"/>
          <w:sz w:val="24"/>
          <w:lang w:val="en-US"/>
        </w:rPr>
        <w:t xml:space="preserve"> Handbook replicated in the different Comprehensive Systems for the Prevention and Management of Legal and Criminal Risks of each legal entity of the latter) and reinforces the existing Anti-Corruption Protocol and Protocol for the Prevention of Money Laundering and Terrorist Financing.</w:t>
      </w:r>
      <w:r w:rsidRPr="00E34E33">
        <w:rPr>
          <w:rFonts w:ascii="Aptos" w:hAnsi="Aptos"/>
          <w:color w:val="201B52"/>
          <w:sz w:val="24"/>
          <w:lang w:val="en-US"/>
        </w:rPr>
        <w:br w:type="page"/>
      </w:r>
    </w:p>
    <w:p w14:paraId="414B8F27" w14:textId="77777777" w:rsidR="00E34E33" w:rsidRPr="00E34E33" w:rsidRDefault="00E34E33" w:rsidP="00E34E33">
      <w:pPr>
        <w:spacing w:before="120" w:after="120" w:line="240" w:lineRule="auto"/>
        <w:jc w:val="both"/>
        <w:rPr>
          <w:rFonts w:ascii="Aptos" w:hAnsi="Aptos"/>
          <w:b/>
          <w:color w:val="201B52"/>
          <w:lang w:val="en-US"/>
        </w:rPr>
      </w:pPr>
    </w:p>
    <w:p w14:paraId="0ABFAB61" w14:textId="77777777" w:rsidR="00E34E33" w:rsidRPr="00E34E33" w:rsidRDefault="00E34E33" w:rsidP="00E34E33">
      <w:pPr>
        <w:pStyle w:val="Tit10"/>
        <w:numPr>
          <w:ilvl w:val="0"/>
          <w:numId w:val="31"/>
        </w:numPr>
        <w:spacing w:before="120" w:after="120"/>
        <w:rPr>
          <w:rFonts w:ascii="Aptos" w:hAnsi="Aptos"/>
          <w:color w:val="201B52"/>
        </w:rPr>
      </w:pPr>
      <w:r w:rsidRPr="00E34E33">
        <w:rPr>
          <w:rFonts w:ascii="Aptos" w:hAnsi="Aptos"/>
          <w:color w:val="201B52"/>
        </w:rPr>
        <w:t>SCOPE OF APPLICATION</w:t>
      </w:r>
    </w:p>
    <w:p w14:paraId="761E6467" w14:textId="77777777" w:rsidR="00E34E33" w:rsidRPr="00E34E33" w:rsidRDefault="00E34E33" w:rsidP="00E34E33">
      <w:pPr>
        <w:spacing w:before="120" w:after="120" w:line="240" w:lineRule="auto"/>
        <w:ind w:left="426" w:hanging="426"/>
        <w:jc w:val="both"/>
        <w:rPr>
          <w:rFonts w:ascii="Aptos" w:hAnsi="Aptos"/>
          <w:b/>
          <w:color w:val="201B52"/>
          <w:sz w:val="24"/>
        </w:rPr>
      </w:pPr>
    </w:p>
    <w:p w14:paraId="06FEBE28" w14:textId="77777777" w:rsidR="00E34E33" w:rsidRPr="00E34E33" w:rsidRDefault="00E34E33" w:rsidP="00E34E33">
      <w:pPr>
        <w:spacing w:before="120" w:after="120" w:line="240" w:lineRule="auto"/>
        <w:jc w:val="both"/>
        <w:rPr>
          <w:rFonts w:ascii="Aptos" w:hAnsi="Aptos"/>
          <w:color w:val="201B52"/>
          <w:sz w:val="24"/>
          <w:lang w:val="en-US"/>
        </w:rPr>
      </w:pPr>
      <w:r w:rsidRPr="00E34E33">
        <w:rPr>
          <w:rFonts w:ascii="Aptos" w:hAnsi="Aptos"/>
          <w:color w:val="201B52"/>
          <w:sz w:val="24"/>
          <w:lang w:val="en-US"/>
        </w:rPr>
        <w:t xml:space="preserve">This KYC &amp; KYS Customer and Supplier Verification PROTOCOL must be observed by the administrators, managers and employees of </w:t>
      </w:r>
      <w:proofErr w:type="gramStart"/>
      <w:r w:rsidRPr="00E34E33">
        <w:rPr>
          <w:rFonts w:ascii="Aptos" w:hAnsi="Aptos"/>
          <w:color w:val="201B52"/>
          <w:sz w:val="24"/>
          <w:lang w:val="en-US"/>
        </w:rPr>
        <w:t>each and every</w:t>
      </w:r>
      <w:proofErr w:type="gramEnd"/>
      <w:r w:rsidRPr="00E34E33">
        <w:rPr>
          <w:rFonts w:ascii="Aptos" w:hAnsi="Aptos"/>
          <w:color w:val="201B52"/>
          <w:sz w:val="24"/>
          <w:lang w:val="en-US"/>
        </w:rPr>
        <w:t xml:space="preserve"> one of the commercial entities under the name MOLGAS ENERGY GROUP. </w:t>
      </w:r>
    </w:p>
    <w:p w14:paraId="75D1A5DF" w14:textId="77777777" w:rsidR="00E34E33" w:rsidRPr="00E34E33" w:rsidRDefault="00E34E33" w:rsidP="00E34E33">
      <w:pPr>
        <w:spacing w:before="120" w:after="120" w:line="240" w:lineRule="auto"/>
        <w:jc w:val="both"/>
        <w:rPr>
          <w:rFonts w:ascii="Aptos" w:hAnsi="Aptos"/>
          <w:color w:val="201B52"/>
          <w:sz w:val="24"/>
          <w:lang w:val="en-US"/>
        </w:rPr>
      </w:pPr>
    </w:p>
    <w:p w14:paraId="06D555B3" w14:textId="77777777" w:rsidR="00E34E33" w:rsidRPr="00E34E33" w:rsidRDefault="00E34E33" w:rsidP="00E34E33">
      <w:pPr>
        <w:spacing w:before="120" w:after="120" w:line="240" w:lineRule="auto"/>
        <w:jc w:val="both"/>
        <w:rPr>
          <w:rFonts w:ascii="Aptos" w:hAnsi="Aptos"/>
          <w:color w:val="201B52"/>
          <w:sz w:val="24"/>
          <w:lang w:val="en-US"/>
        </w:rPr>
      </w:pPr>
      <w:r w:rsidRPr="00E34E33">
        <w:rPr>
          <w:rFonts w:ascii="Aptos" w:hAnsi="Aptos"/>
          <w:color w:val="201B52"/>
          <w:sz w:val="24"/>
          <w:lang w:val="en-US"/>
        </w:rPr>
        <w:t>It also applies to those who act in the name and on behalf of MOLGAS ENERGY GROUP and have commercial relations with its commercial companies.</w:t>
      </w:r>
    </w:p>
    <w:p w14:paraId="414566E7" w14:textId="77777777" w:rsidR="00E34E33" w:rsidRPr="00E34E33" w:rsidRDefault="00E34E33" w:rsidP="00E34E33">
      <w:pPr>
        <w:spacing w:before="120" w:after="120" w:line="240" w:lineRule="auto"/>
        <w:jc w:val="both"/>
        <w:rPr>
          <w:rFonts w:ascii="Aptos" w:hAnsi="Aptos"/>
          <w:color w:val="201B52"/>
          <w:sz w:val="12"/>
          <w:szCs w:val="12"/>
          <w:lang w:val="en-US"/>
        </w:rPr>
      </w:pPr>
    </w:p>
    <w:p w14:paraId="1E899292" w14:textId="77777777" w:rsidR="00E34E33" w:rsidRPr="00E34E33" w:rsidRDefault="00E34E33" w:rsidP="00E34E33">
      <w:pPr>
        <w:spacing w:before="120" w:after="120" w:line="240" w:lineRule="auto"/>
        <w:jc w:val="both"/>
        <w:rPr>
          <w:rFonts w:ascii="Aptos" w:hAnsi="Aptos"/>
          <w:color w:val="201B52"/>
          <w:sz w:val="12"/>
          <w:szCs w:val="12"/>
          <w:lang w:val="en-US"/>
        </w:rPr>
      </w:pPr>
    </w:p>
    <w:p w14:paraId="1EC8BF09" w14:textId="77777777" w:rsidR="00E34E33" w:rsidRPr="00E34E33" w:rsidRDefault="00E34E33" w:rsidP="00E34E33">
      <w:pPr>
        <w:pStyle w:val="Prrafodelista"/>
        <w:numPr>
          <w:ilvl w:val="0"/>
          <w:numId w:val="31"/>
        </w:numPr>
        <w:spacing w:before="120" w:after="120"/>
        <w:jc w:val="both"/>
        <w:rPr>
          <w:rFonts w:ascii="Aptos" w:hAnsi="Aptos"/>
          <w:b/>
          <w:bCs/>
          <w:color w:val="201B52"/>
          <w:sz w:val="24"/>
          <w:szCs w:val="24"/>
        </w:rPr>
      </w:pPr>
      <w:r w:rsidRPr="00E34E33">
        <w:rPr>
          <w:rFonts w:ascii="Aptos" w:hAnsi="Aptos"/>
          <w:b/>
          <w:bCs/>
          <w:color w:val="201B52"/>
          <w:sz w:val="24"/>
          <w:szCs w:val="24"/>
        </w:rPr>
        <w:t>OBJECT</w:t>
      </w:r>
    </w:p>
    <w:p w14:paraId="16558780" w14:textId="77777777" w:rsidR="00E34E33" w:rsidRPr="00E34E33" w:rsidRDefault="00E34E33" w:rsidP="00E34E33">
      <w:pPr>
        <w:spacing w:before="120" w:after="120" w:line="240" w:lineRule="auto"/>
        <w:jc w:val="both"/>
        <w:rPr>
          <w:rFonts w:ascii="Aptos" w:hAnsi="Aptos"/>
          <w:color w:val="201B52"/>
          <w:sz w:val="16"/>
          <w:szCs w:val="16"/>
        </w:rPr>
      </w:pPr>
    </w:p>
    <w:p w14:paraId="6A3BFB0F" w14:textId="77777777" w:rsidR="00E34E33" w:rsidRPr="00E34E33" w:rsidRDefault="00E34E33" w:rsidP="00E34E33">
      <w:pPr>
        <w:spacing w:before="120" w:after="120" w:line="240" w:lineRule="auto"/>
        <w:jc w:val="both"/>
        <w:rPr>
          <w:rFonts w:ascii="Aptos" w:hAnsi="Aptos"/>
          <w:color w:val="201B52"/>
          <w:sz w:val="24"/>
          <w:lang w:val="en-US"/>
        </w:rPr>
      </w:pPr>
      <w:r w:rsidRPr="00E34E33">
        <w:rPr>
          <w:rFonts w:ascii="Aptos" w:hAnsi="Aptos"/>
          <w:color w:val="201B52"/>
          <w:sz w:val="24"/>
          <w:lang w:val="en-US"/>
        </w:rPr>
        <w:t>MOLGAS ENERGY GROUP understands the process of knowing its customers and suppliers as fundamental in the procurement of goods and services, both when it delivers or provides them to a customer and when it receives them from a supplier.</w:t>
      </w:r>
    </w:p>
    <w:p w14:paraId="1A1B6C2E" w14:textId="77777777" w:rsidR="00E34E33" w:rsidRPr="00E34E33" w:rsidRDefault="00E34E33" w:rsidP="00E34E33">
      <w:pPr>
        <w:spacing w:before="120" w:after="120" w:line="240" w:lineRule="auto"/>
        <w:jc w:val="both"/>
        <w:rPr>
          <w:rFonts w:ascii="Aptos" w:hAnsi="Aptos"/>
          <w:color w:val="201B52"/>
          <w:sz w:val="16"/>
          <w:szCs w:val="16"/>
          <w:lang w:val="en-US"/>
        </w:rPr>
      </w:pPr>
    </w:p>
    <w:p w14:paraId="2911F29C" w14:textId="77777777" w:rsidR="00E34E33" w:rsidRPr="00E34E33" w:rsidRDefault="00E34E33" w:rsidP="00E34E33">
      <w:pPr>
        <w:spacing w:before="120" w:after="120" w:line="240" w:lineRule="auto"/>
        <w:jc w:val="both"/>
        <w:rPr>
          <w:rFonts w:ascii="Aptos" w:hAnsi="Aptos"/>
          <w:color w:val="201B52"/>
          <w:sz w:val="24"/>
          <w:lang w:val="en-US"/>
        </w:rPr>
      </w:pPr>
      <w:r w:rsidRPr="00E34E33">
        <w:rPr>
          <w:rFonts w:ascii="Aptos" w:hAnsi="Aptos"/>
          <w:color w:val="201B52"/>
          <w:sz w:val="24"/>
          <w:lang w:val="en-US"/>
        </w:rPr>
        <w:t>Therefore, the purpose of this PROTOCOL is to verify the real identity of the customers and suppliers of MOLGAS ENERGY GROUP, to guarantee their probity and integrity in the face of anti-corruption legislation and the prevention of money laundering and terrorist financing.</w:t>
      </w:r>
    </w:p>
    <w:p w14:paraId="3095129B" w14:textId="77777777" w:rsidR="00E34E33" w:rsidRPr="00E34E33" w:rsidRDefault="00E34E33" w:rsidP="00E34E33">
      <w:pPr>
        <w:spacing w:before="120" w:after="120" w:line="240" w:lineRule="auto"/>
        <w:jc w:val="both"/>
        <w:rPr>
          <w:rFonts w:ascii="Aptos" w:hAnsi="Aptos"/>
          <w:color w:val="201B52"/>
          <w:sz w:val="16"/>
          <w:szCs w:val="16"/>
          <w:lang w:val="en-US"/>
        </w:rPr>
      </w:pPr>
    </w:p>
    <w:p w14:paraId="61F7862B" w14:textId="77777777" w:rsidR="00E34E33" w:rsidRPr="00E34E33" w:rsidRDefault="00E34E33" w:rsidP="00E34E33">
      <w:pPr>
        <w:pStyle w:val="Sinespaciado"/>
        <w:spacing w:before="120" w:after="120"/>
        <w:jc w:val="both"/>
        <w:rPr>
          <w:rFonts w:ascii="Aptos" w:hAnsi="Aptos" w:cs="Times New Roman"/>
          <w:bCs/>
          <w:color w:val="201B52"/>
          <w:sz w:val="24"/>
          <w:szCs w:val="24"/>
          <w:lang w:val="en-US"/>
        </w:rPr>
      </w:pPr>
      <w:r w:rsidRPr="00E34E33">
        <w:rPr>
          <w:rFonts w:ascii="Aptos" w:hAnsi="Aptos" w:cs="Times New Roman"/>
          <w:bCs/>
          <w:color w:val="201B52"/>
          <w:sz w:val="24"/>
          <w:szCs w:val="24"/>
          <w:lang w:val="en-US"/>
        </w:rPr>
        <w:t xml:space="preserve">It is not a Protocol to verify and assess the technical or economic solvencies of customers and suppliers, subject to other Procedures in MOLGAS ENERGY GROUP. Its ultimate purpose is </w:t>
      </w:r>
      <w:r w:rsidRPr="00E34E33">
        <w:rPr>
          <w:rFonts w:ascii="Aptos" w:hAnsi="Aptos"/>
          <w:color w:val="201B52"/>
          <w:sz w:val="24"/>
          <w:szCs w:val="24"/>
          <w:lang w:val="en-US"/>
        </w:rPr>
        <w:t>to prevent commercial relations with legal entities related to corruption and money laundering and terrorist financing</w:t>
      </w:r>
      <w:r w:rsidRPr="00E34E33">
        <w:rPr>
          <w:rFonts w:ascii="Aptos" w:hAnsi="Aptos" w:cs="Times New Roman"/>
          <w:bCs/>
          <w:color w:val="201B52"/>
          <w:sz w:val="24"/>
          <w:szCs w:val="24"/>
          <w:lang w:val="en-US"/>
        </w:rPr>
        <w:t>.</w:t>
      </w:r>
    </w:p>
    <w:p w14:paraId="6FE312DC" w14:textId="77777777" w:rsidR="00E34E33" w:rsidRPr="00E34E33" w:rsidRDefault="00E34E33" w:rsidP="00E34E33">
      <w:pPr>
        <w:pStyle w:val="Sinespaciado"/>
        <w:spacing w:before="120" w:after="120"/>
        <w:jc w:val="both"/>
        <w:rPr>
          <w:rFonts w:ascii="Aptos" w:hAnsi="Aptos" w:cs="Times New Roman"/>
          <w:b/>
          <w:color w:val="201B52"/>
          <w:sz w:val="12"/>
          <w:szCs w:val="12"/>
          <w:lang w:val="en-US"/>
        </w:rPr>
      </w:pPr>
    </w:p>
    <w:p w14:paraId="755769B2" w14:textId="77777777" w:rsidR="00E34E33" w:rsidRPr="00E34E33" w:rsidRDefault="00E34E33" w:rsidP="00E34E33">
      <w:pPr>
        <w:pStyle w:val="Sinespaciado"/>
        <w:spacing w:before="120" w:after="120"/>
        <w:jc w:val="both"/>
        <w:rPr>
          <w:rFonts w:ascii="Aptos" w:hAnsi="Aptos" w:cs="Times New Roman"/>
          <w:b/>
          <w:color w:val="201B52"/>
          <w:sz w:val="12"/>
          <w:szCs w:val="12"/>
          <w:lang w:val="en-US"/>
        </w:rPr>
      </w:pPr>
    </w:p>
    <w:p w14:paraId="357EC188" w14:textId="77777777" w:rsidR="00E34E33" w:rsidRPr="00E34E33" w:rsidRDefault="00E34E33" w:rsidP="00E34E33">
      <w:pPr>
        <w:pStyle w:val="Sinespaciado"/>
        <w:numPr>
          <w:ilvl w:val="0"/>
          <w:numId w:val="31"/>
        </w:numPr>
        <w:spacing w:before="120" w:after="120"/>
        <w:jc w:val="both"/>
        <w:rPr>
          <w:rFonts w:ascii="Aptos" w:hAnsi="Aptos" w:cs="Times New Roman"/>
          <w:b/>
          <w:color w:val="201B52"/>
          <w:sz w:val="24"/>
          <w:szCs w:val="24"/>
        </w:rPr>
      </w:pPr>
      <w:r w:rsidRPr="00E34E33">
        <w:rPr>
          <w:rFonts w:ascii="Aptos" w:hAnsi="Aptos" w:cs="Times New Roman"/>
          <w:b/>
          <w:color w:val="201B52"/>
          <w:sz w:val="24"/>
          <w:szCs w:val="24"/>
        </w:rPr>
        <w:t>PREVENTIVE MEASURES</w:t>
      </w:r>
    </w:p>
    <w:p w14:paraId="5AD35F96" w14:textId="77777777" w:rsidR="00E34E33" w:rsidRPr="00E34E33" w:rsidRDefault="00E34E33" w:rsidP="00E34E33">
      <w:pPr>
        <w:pStyle w:val="Sinespaciado"/>
        <w:spacing w:before="120" w:after="120"/>
        <w:ind w:left="360"/>
        <w:jc w:val="both"/>
        <w:rPr>
          <w:rFonts w:ascii="Aptos" w:hAnsi="Aptos" w:cs="Times New Roman"/>
          <w:b/>
          <w:color w:val="201B52"/>
          <w:sz w:val="16"/>
          <w:szCs w:val="16"/>
        </w:rPr>
      </w:pPr>
    </w:p>
    <w:p w14:paraId="7A06EDE2"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color w:val="201B52"/>
          <w:sz w:val="24"/>
          <w:szCs w:val="24"/>
          <w:lang w:val="en-US"/>
        </w:rPr>
        <w:t xml:space="preserve">As stated in the Protocol for the Prevention of Money Laundering and Terrorist Financing (AML-CFT), at the time of initiating the commercial relationship, MOLGAS ENERGY GROUP must obtain certain data on the legal or natural persons to be processed, </w:t>
      </w:r>
      <w:proofErr w:type="gramStart"/>
      <w:r w:rsidRPr="00E34E33">
        <w:rPr>
          <w:rFonts w:ascii="Aptos" w:hAnsi="Aptos" w:cs="Times New Roman"/>
          <w:color w:val="201B52"/>
          <w:sz w:val="24"/>
          <w:szCs w:val="24"/>
          <w:lang w:val="en-US"/>
        </w:rPr>
        <w:t>in order to</w:t>
      </w:r>
      <w:proofErr w:type="gramEnd"/>
      <w:r w:rsidRPr="00E34E33">
        <w:rPr>
          <w:rFonts w:ascii="Aptos" w:hAnsi="Aptos" w:cs="Times New Roman"/>
          <w:color w:val="201B52"/>
          <w:sz w:val="24"/>
          <w:szCs w:val="24"/>
          <w:lang w:val="en-US"/>
        </w:rPr>
        <w:t xml:space="preserve"> know their identity prior to initiating commercial relations. </w:t>
      </w:r>
    </w:p>
    <w:p w14:paraId="76E0E29F" w14:textId="77777777" w:rsidR="00E34E33" w:rsidRPr="00E34E33" w:rsidRDefault="00E34E33" w:rsidP="00E34E33">
      <w:pPr>
        <w:pStyle w:val="Sinespaciado"/>
        <w:spacing w:before="120" w:after="120"/>
        <w:jc w:val="both"/>
        <w:rPr>
          <w:rFonts w:ascii="Aptos" w:hAnsi="Aptos" w:cs="Times New Roman"/>
          <w:bCs/>
          <w:color w:val="201B52"/>
          <w:sz w:val="16"/>
          <w:szCs w:val="16"/>
          <w:lang w:val="en-US"/>
        </w:rPr>
      </w:pPr>
    </w:p>
    <w:p w14:paraId="2C62E0C7" w14:textId="77777777" w:rsidR="00E34E33" w:rsidRPr="00E34E33" w:rsidRDefault="00E34E33" w:rsidP="00E34E33">
      <w:pPr>
        <w:pStyle w:val="Sinespaciado"/>
        <w:spacing w:before="120" w:after="120"/>
        <w:jc w:val="both"/>
        <w:rPr>
          <w:rFonts w:ascii="Aptos" w:hAnsi="Aptos" w:cs="Times New Roman"/>
          <w:bCs/>
          <w:color w:val="201B52"/>
          <w:sz w:val="24"/>
          <w:szCs w:val="24"/>
          <w:lang w:val="en-US"/>
        </w:rPr>
      </w:pPr>
      <w:r w:rsidRPr="00E34E33">
        <w:rPr>
          <w:rFonts w:ascii="Aptos" w:hAnsi="Aptos" w:cs="Times New Roman"/>
          <w:bCs/>
          <w:color w:val="201B52"/>
          <w:sz w:val="24"/>
          <w:szCs w:val="24"/>
          <w:lang w:val="en-US"/>
        </w:rPr>
        <w:lastRenderedPageBreak/>
        <w:t xml:space="preserve">As a reinforcement of what is contained therein, and focusing on the legal persons, object of this Protocol, </w:t>
      </w:r>
      <w:proofErr w:type="gramStart"/>
      <w:r w:rsidRPr="00E34E33">
        <w:rPr>
          <w:rFonts w:ascii="Aptos" w:hAnsi="Aptos" w:cs="Times New Roman"/>
          <w:bCs/>
          <w:color w:val="201B52"/>
          <w:sz w:val="24"/>
          <w:szCs w:val="24"/>
          <w:lang w:val="en-US"/>
        </w:rPr>
        <w:t>in order to</w:t>
      </w:r>
      <w:proofErr w:type="gramEnd"/>
      <w:r w:rsidRPr="00E34E33">
        <w:rPr>
          <w:rFonts w:ascii="Aptos" w:hAnsi="Aptos" w:cs="Times New Roman"/>
          <w:bCs/>
          <w:color w:val="201B52"/>
          <w:sz w:val="24"/>
          <w:szCs w:val="24"/>
          <w:lang w:val="en-US"/>
        </w:rPr>
        <w:t xml:space="preserve"> establish the preventive measures that try to ensure the integrity of customers and suppliers, it is necessary to distinguish whether the country where the company name of the customer or supplier resides belongs to the SCHENGEN AREA or not.</w:t>
      </w:r>
    </w:p>
    <w:p w14:paraId="6856053D"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4713D1EC"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color w:val="201B52"/>
          <w:sz w:val="24"/>
          <w:szCs w:val="24"/>
          <w:lang w:val="en-US"/>
        </w:rPr>
        <w:t>The reason is obvious. In the countries that are signatories to the SCHENGEN Agreement, people, goods, services and capital move freely, and legislation has been established within them on the prevention of money laundering and terrorist financing, as well as collaboration mechanisms in anti-corruption matters.</w:t>
      </w:r>
    </w:p>
    <w:p w14:paraId="5E691FA0"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01EF359D"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color w:val="201B52"/>
          <w:sz w:val="24"/>
          <w:szCs w:val="24"/>
          <w:lang w:val="en-US"/>
        </w:rPr>
        <w:t>The countries that, as of the date of preparation of this Protocol, belong to the SCHENGEN AREA are:</w:t>
      </w:r>
    </w:p>
    <w:p w14:paraId="50E87E82" w14:textId="75B0ABB3"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024A1D18" w14:textId="15B7DEE7"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noProof/>
          <w:color w:val="201B52"/>
        </w:rPr>
        <w:drawing>
          <wp:anchor distT="0" distB="0" distL="114300" distR="114300" simplePos="0" relativeHeight="251659264" behindDoc="0" locked="0" layoutInCell="1" allowOverlap="1" wp14:anchorId="218C59F6" wp14:editId="21C7B726">
            <wp:simplePos x="0" y="0"/>
            <wp:positionH relativeFrom="margin">
              <wp:posOffset>1371600</wp:posOffset>
            </wp:positionH>
            <wp:positionV relativeFrom="paragraph">
              <wp:posOffset>130810</wp:posOffset>
            </wp:positionV>
            <wp:extent cx="2510155" cy="2510155"/>
            <wp:effectExtent l="0" t="0" r="4445" b="4445"/>
            <wp:wrapSquare wrapText="bothSides"/>
            <wp:docPr id="6" name="Imagen 6" descr="Una captura de pantalla de un cel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a captura de pantalla de un celular&#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0155" cy="2510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AE05B"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038DFD93"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794593D7"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7D459C15"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7281D0EE"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79392BAD"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214D775F"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33E9442A"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16E8D222"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7CD211C7"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2200FEAC"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p>
    <w:p w14:paraId="1B36DE3C"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22F85DCB"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color w:val="201B52"/>
          <w:sz w:val="24"/>
          <w:szCs w:val="24"/>
          <w:lang w:val="en-US"/>
        </w:rPr>
        <w:t>There are five (5) countries of the European Union that are not part of the Schengen Area (Bulgaria, Cyprus, Croatia, Ireland and Romania). And there are certain territories that, despite belonging to a Schengen Area country, the Agreement does not apply to them (Greenland, the Faroe Islands, the French overseas territories, Mount Athos, Svalbard in Norway, Aruba, Curaçao, Sint Maarten and the Dutch Caribbean).</w:t>
      </w:r>
    </w:p>
    <w:p w14:paraId="2D32FEDA"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1867BD53"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color w:val="201B52"/>
          <w:sz w:val="24"/>
          <w:szCs w:val="24"/>
          <w:lang w:val="en-US"/>
        </w:rPr>
        <w:lastRenderedPageBreak/>
        <w:t>There are four (4) countries in the above list that do not belong to the European Union (Norway, Iceland, Switzerland and Liechtenstein).</w:t>
      </w:r>
    </w:p>
    <w:p w14:paraId="5ED6E19B"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7499E9F2"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color w:val="201B52"/>
          <w:sz w:val="24"/>
          <w:szCs w:val="24"/>
          <w:lang w:val="en-US"/>
        </w:rPr>
        <w:t>And, although they are not part of the Schengen Area, the rules of the Treaty do apply in certain countries (Monaco, San Marino and the Vatican).</w:t>
      </w:r>
    </w:p>
    <w:p w14:paraId="4FB0E5AB"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5067BB98"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36949454" w14:textId="77777777" w:rsidR="00E34E33" w:rsidRPr="00E34E33" w:rsidRDefault="00E34E33" w:rsidP="00E34E33">
      <w:pPr>
        <w:pStyle w:val="Sinespaciado"/>
        <w:spacing w:before="120" w:after="120"/>
        <w:jc w:val="both"/>
        <w:rPr>
          <w:rFonts w:ascii="Aptos" w:hAnsi="Aptos" w:cs="Times New Roman"/>
          <w:b/>
          <w:bCs/>
          <w:color w:val="201B52"/>
          <w:sz w:val="24"/>
          <w:szCs w:val="24"/>
          <w:lang w:val="en-US"/>
        </w:rPr>
      </w:pPr>
      <w:r w:rsidRPr="00E34E33">
        <w:rPr>
          <w:rFonts w:ascii="Aptos" w:hAnsi="Aptos" w:cs="Times New Roman"/>
          <w:b/>
          <w:bCs/>
          <w:color w:val="201B52"/>
          <w:sz w:val="24"/>
          <w:szCs w:val="24"/>
          <w:lang w:val="en-US"/>
        </w:rPr>
        <w:t>Measures with Schengen Area countries</w:t>
      </w:r>
    </w:p>
    <w:p w14:paraId="7D0B39BF"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32B34F6C"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color w:val="201B52"/>
          <w:sz w:val="24"/>
          <w:szCs w:val="24"/>
          <w:lang w:val="en-US"/>
        </w:rPr>
        <w:t>The guarantees established in the corresponding Treaty, which are supported by anti-corruption and AML-CFT legislation, make the application of the Anti-Corruption and AML-CFT Protocols of MOLGAS ENERGY GROUP, in principle, sufficient when verifying the integrity of the client or supplier.</w:t>
      </w:r>
    </w:p>
    <w:p w14:paraId="23FA9F74"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60C3E7FA"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color w:val="201B52"/>
          <w:sz w:val="24"/>
          <w:szCs w:val="24"/>
          <w:lang w:val="en-US"/>
        </w:rPr>
        <w:t xml:space="preserve">However, as an additional measure, the beneficial ownership of each customer and supplier will be requested prior to starting the business relationship and the beneficial owner of these commercial entities will be obtained through the UBO (Ultimate Beneficial Owners) Registries, used around the world to track who </w:t>
      </w:r>
      <w:proofErr w:type="gramStart"/>
      <w:r w:rsidRPr="00E34E33">
        <w:rPr>
          <w:rFonts w:ascii="Aptos" w:hAnsi="Aptos" w:cs="Times New Roman"/>
          <w:color w:val="201B52"/>
          <w:sz w:val="24"/>
          <w:szCs w:val="24"/>
          <w:lang w:val="en-US"/>
        </w:rPr>
        <w:t>actually controls</w:t>
      </w:r>
      <w:proofErr w:type="gramEnd"/>
      <w:r w:rsidRPr="00E34E33">
        <w:rPr>
          <w:rFonts w:ascii="Aptos" w:hAnsi="Aptos" w:cs="Times New Roman"/>
          <w:color w:val="201B52"/>
          <w:sz w:val="24"/>
          <w:szCs w:val="24"/>
          <w:lang w:val="en-US"/>
        </w:rPr>
        <w:t xml:space="preserve"> a legal entity.</w:t>
      </w:r>
    </w:p>
    <w:p w14:paraId="56A73C8F"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71ED29C1" w14:textId="77777777" w:rsid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color w:val="201B52"/>
          <w:sz w:val="24"/>
          <w:szCs w:val="24"/>
          <w:lang w:val="en-US"/>
        </w:rPr>
        <w:t>At the discretion of the Financial Directorate of each commercial entity, the measures to be carried out with countries that are not part of the Schengen Area may also be applied.</w:t>
      </w:r>
    </w:p>
    <w:p w14:paraId="5196FC09" w14:textId="77777777" w:rsidR="00E34E33" w:rsidRDefault="00E34E33" w:rsidP="00E34E33">
      <w:pPr>
        <w:pStyle w:val="Sinespaciado"/>
        <w:spacing w:before="120" w:after="120"/>
        <w:jc w:val="both"/>
        <w:rPr>
          <w:rFonts w:ascii="Aptos" w:hAnsi="Aptos" w:cs="Times New Roman"/>
          <w:color w:val="201B52"/>
          <w:sz w:val="24"/>
          <w:szCs w:val="24"/>
          <w:lang w:val="en-US"/>
        </w:rPr>
      </w:pPr>
    </w:p>
    <w:p w14:paraId="6DEC3055" w14:textId="3267C255"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b/>
          <w:bCs/>
          <w:color w:val="201B52"/>
          <w:sz w:val="24"/>
          <w:szCs w:val="24"/>
          <w:lang w:val="en-US"/>
        </w:rPr>
        <w:t>Measures with countries that are not part of the Schengen Area</w:t>
      </w:r>
    </w:p>
    <w:p w14:paraId="19071B1A" w14:textId="77777777" w:rsidR="00E34E33" w:rsidRPr="00E34E33" w:rsidRDefault="00E34E33" w:rsidP="00E34E33">
      <w:pPr>
        <w:pStyle w:val="Sinespaciado"/>
        <w:spacing w:before="120" w:after="120"/>
        <w:jc w:val="both"/>
        <w:rPr>
          <w:rFonts w:ascii="Aptos" w:hAnsi="Aptos" w:cs="Times New Roman"/>
          <w:color w:val="201B52"/>
          <w:sz w:val="16"/>
          <w:szCs w:val="16"/>
          <w:lang w:val="en-US"/>
        </w:rPr>
      </w:pPr>
    </w:p>
    <w:p w14:paraId="40A76F6A" w14:textId="77777777" w:rsidR="00E34E33" w:rsidRPr="00E34E33" w:rsidRDefault="00E34E33" w:rsidP="00E34E33">
      <w:pPr>
        <w:pStyle w:val="Sinespaciado"/>
        <w:spacing w:before="120" w:after="120"/>
        <w:jc w:val="both"/>
        <w:rPr>
          <w:rFonts w:ascii="Aptos" w:hAnsi="Aptos" w:cs="Times New Roman"/>
          <w:color w:val="201B52"/>
          <w:sz w:val="24"/>
          <w:szCs w:val="24"/>
          <w:lang w:val="en-US"/>
        </w:rPr>
      </w:pPr>
      <w:r w:rsidRPr="00E34E33">
        <w:rPr>
          <w:rFonts w:ascii="Aptos" w:hAnsi="Aptos" w:cs="Times New Roman"/>
          <w:color w:val="201B52"/>
          <w:sz w:val="24"/>
          <w:szCs w:val="24"/>
          <w:lang w:val="en-US"/>
        </w:rPr>
        <w:t>In this case, in addition to the application of the Anti-Corruption and AML-CFT Protocols, it is mandatory, prior to starting the commercial relationship with customers and suppliers, to complete the KYC &amp; KYS Form, which is attached as ANNEX I in this Protocol, forming part of it for all purposes.</w:t>
      </w:r>
    </w:p>
    <w:p w14:paraId="726A0D79" w14:textId="77777777" w:rsidR="00E34E33" w:rsidRPr="00E34E33" w:rsidRDefault="00E34E33" w:rsidP="00E34E33">
      <w:pPr>
        <w:pStyle w:val="Sinespaciado"/>
        <w:spacing w:before="120" w:after="120"/>
        <w:jc w:val="both"/>
        <w:rPr>
          <w:rFonts w:ascii="Aptos" w:hAnsi="Aptos" w:cs="Times New Roman"/>
          <w:color w:val="201B52"/>
          <w:sz w:val="20"/>
          <w:szCs w:val="20"/>
          <w:lang w:val="en-US"/>
        </w:rPr>
      </w:pPr>
    </w:p>
    <w:p w14:paraId="6993BE3C" w14:textId="77777777" w:rsidR="00E34E33" w:rsidRPr="00E34E33" w:rsidRDefault="00E34E33" w:rsidP="00E34E33">
      <w:pPr>
        <w:pStyle w:val="Sinespaciado"/>
        <w:spacing w:before="120" w:after="120"/>
        <w:jc w:val="both"/>
        <w:rPr>
          <w:rFonts w:ascii="Aptos" w:hAnsi="Aptos" w:cs="Times New Roman"/>
          <w:color w:val="201B52"/>
          <w:sz w:val="20"/>
          <w:szCs w:val="20"/>
          <w:lang w:val="en-US"/>
        </w:rPr>
      </w:pPr>
    </w:p>
    <w:p w14:paraId="63F5F78F" w14:textId="77777777" w:rsidR="00E34E33" w:rsidRPr="00E34E33" w:rsidRDefault="00E34E33" w:rsidP="00E34E33">
      <w:pPr>
        <w:pStyle w:val="Prrafodelista"/>
        <w:numPr>
          <w:ilvl w:val="0"/>
          <w:numId w:val="31"/>
        </w:numPr>
        <w:spacing w:before="120" w:after="120"/>
        <w:jc w:val="both"/>
        <w:rPr>
          <w:rFonts w:ascii="Aptos" w:hAnsi="Aptos"/>
          <w:b/>
          <w:bCs/>
          <w:color w:val="201B52"/>
          <w:sz w:val="24"/>
          <w:szCs w:val="24"/>
        </w:rPr>
      </w:pPr>
      <w:r w:rsidRPr="00E34E33">
        <w:rPr>
          <w:rFonts w:ascii="Aptos" w:hAnsi="Aptos"/>
          <w:b/>
          <w:bCs/>
          <w:color w:val="201B52"/>
          <w:sz w:val="24"/>
          <w:szCs w:val="24"/>
        </w:rPr>
        <w:t>FORMATION</w:t>
      </w:r>
    </w:p>
    <w:p w14:paraId="6E271B23" w14:textId="77777777" w:rsidR="00E34E33" w:rsidRPr="00E34E33" w:rsidRDefault="00E34E33" w:rsidP="00E34E33">
      <w:pPr>
        <w:pStyle w:val="Prrafodelista"/>
        <w:spacing w:before="120" w:after="120"/>
        <w:ind w:left="0"/>
        <w:jc w:val="both"/>
        <w:rPr>
          <w:rFonts w:ascii="Aptos" w:hAnsi="Aptos"/>
          <w:b/>
          <w:bCs/>
          <w:color w:val="201B52"/>
          <w:sz w:val="16"/>
          <w:szCs w:val="16"/>
        </w:rPr>
      </w:pPr>
    </w:p>
    <w:p w14:paraId="6D490705" w14:textId="77777777" w:rsidR="00E34E33" w:rsidRPr="00E34E33" w:rsidRDefault="00E34E33" w:rsidP="00E34E33">
      <w:pPr>
        <w:pStyle w:val="Prrafodelista"/>
        <w:spacing w:before="120" w:after="120"/>
        <w:ind w:left="0"/>
        <w:jc w:val="both"/>
        <w:rPr>
          <w:rFonts w:ascii="Aptos" w:hAnsi="Aptos"/>
          <w:color w:val="201B52"/>
          <w:sz w:val="24"/>
          <w:szCs w:val="24"/>
          <w:lang w:val="en-US"/>
        </w:rPr>
      </w:pPr>
      <w:r w:rsidRPr="00E34E33">
        <w:rPr>
          <w:rFonts w:ascii="Aptos" w:hAnsi="Aptos"/>
          <w:color w:val="201B52"/>
          <w:sz w:val="24"/>
          <w:szCs w:val="24"/>
          <w:lang w:val="en-US"/>
        </w:rPr>
        <w:t xml:space="preserve">This PROTOCOL must be included among the mandatory training subjects in the Training Action </w:t>
      </w:r>
      <w:proofErr w:type="spellStart"/>
      <w:r w:rsidRPr="00E34E33">
        <w:rPr>
          <w:rFonts w:ascii="Aptos" w:hAnsi="Aptos"/>
          <w:color w:val="201B52"/>
          <w:sz w:val="24"/>
          <w:szCs w:val="24"/>
          <w:lang w:val="en-US"/>
        </w:rPr>
        <w:t>Programmes</w:t>
      </w:r>
      <w:proofErr w:type="spellEnd"/>
      <w:r w:rsidRPr="00E34E33">
        <w:rPr>
          <w:rFonts w:ascii="Aptos" w:hAnsi="Aptos"/>
          <w:color w:val="201B52"/>
          <w:sz w:val="24"/>
          <w:szCs w:val="24"/>
          <w:lang w:val="en-US"/>
        </w:rPr>
        <w:t xml:space="preserve"> in the field of Compliance.</w:t>
      </w:r>
    </w:p>
    <w:p w14:paraId="259F4E05" w14:textId="77777777" w:rsidR="00E34E33" w:rsidRPr="00E34E33" w:rsidRDefault="00E34E33" w:rsidP="00E34E33">
      <w:pPr>
        <w:pStyle w:val="Prrafodelista"/>
        <w:spacing w:before="120" w:after="120"/>
        <w:ind w:left="567"/>
        <w:jc w:val="both"/>
        <w:rPr>
          <w:rFonts w:ascii="Aptos" w:hAnsi="Aptos"/>
          <w:b/>
          <w:bCs/>
          <w:color w:val="201B52"/>
          <w:sz w:val="20"/>
          <w:szCs w:val="20"/>
          <w:lang w:val="en-US"/>
        </w:rPr>
      </w:pPr>
    </w:p>
    <w:p w14:paraId="6B80CB63" w14:textId="77777777" w:rsidR="00E34E33" w:rsidRPr="00E34E33" w:rsidRDefault="00E34E33" w:rsidP="00E34E33">
      <w:pPr>
        <w:pStyle w:val="Prrafodelista"/>
        <w:spacing w:before="120" w:after="120"/>
        <w:ind w:left="567"/>
        <w:jc w:val="both"/>
        <w:rPr>
          <w:rFonts w:ascii="Aptos" w:hAnsi="Aptos"/>
          <w:b/>
          <w:bCs/>
          <w:color w:val="201B52"/>
          <w:sz w:val="20"/>
          <w:szCs w:val="20"/>
          <w:lang w:val="en-US"/>
        </w:rPr>
      </w:pPr>
    </w:p>
    <w:p w14:paraId="4707904C" w14:textId="77777777" w:rsidR="00E34E33" w:rsidRPr="00E34E33" w:rsidRDefault="00E34E33" w:rsidP="00E34E33">
      <w:pPr>
        <w:pStyle w:val="Prrafodelista"/>
        <w:numPr>
          <w:ilvl w:val="0"/>
          <w:numId w:val="31"/>
        </w:numPr>
        <w:spacing w:before="120" w:after="120"/>
        <w:jc w:val="both"/>
        <w:rPr>
          <w:rFonts w:ascii="Aptos" w:hAnsi="Aptos"/>
          <w:b/>
          <w:bCs/>
          <w:color w:val="201B52"/>
          <w:sz w:val="24"/>
          <w:szCs w:val="24"/>
          <w:lang w:val="en-US"/>
        </w:rPr>
      </w:pPr>
      <w:r w:rsidRPr="00E34E33">
        <w:rPr>
          <w:rFonts w:ascii="Aptos" w:hAnsi="Aptos"/>
          <w:b/>
          <w:bCs/>
          <w:color w:val="201B52"/>
          <w:sz w:val="24"/>
          <w:szCs w:val="24"/>
          <w:lang w:val="en-US"/>
        </w:rPr>
        <w:t>INTERNAL INFORMATION SYSTEM AND WHISTLEBLOWING CHANNEL</w:t>
      </w:r>
    </w:p>
    <w:p w14:paraId="08378CB4" w14:textId="77777777" w:rsidR="00E34E33" w:rsidRPr="00E34E33" w:rsidRDefault="00E34E33" w:rsidP="00E34E33">
      <w:pPr>
        <w:spacing w:before="120" w:after="120" w:line="240" w:lineRule="auto"/>
        <w:jc w:val="both"/>
        <w:rPr>
          <w:rFonts w:ascii="Aptos" w:hAnsi="Aptos"/>
          <w:b/>
          <w:bCs/>
          <w:color w:val="201B52"/>
          <w:sz w:val="16"/>
          <w:szCs w:val="16"/>
          <w:lang w:val="en-US"/>
        </w:rPr>
      </w:pPr>
    </w:p>
    <w:p w14:paraId="561D87BE" w14:textId="77777777" w:rsidR="00E34E33" w:rsidRPr="00E34E33" w:rsidRDefault="00E34E33" w:rsidP="00E34E33">
      <w:pPr>
        <w:spacing w:before="120" w:after="120" w:line="240" w:lineRule="auto"/>
        <w:jc w:val="both"/>
        <w:rPr>
          <w:rFonts w:ascii="Aptos" w:hAnsi="Aptos"/>
          <w:color w:val="201B52"/>
          <w:sz w:val="24"/>
          <w:lang w:val="en-US"/>
        </w:rPr>
      </w:pPr>
      <w:r w:rsidRPr="00E34E33">
        <w:rPr>
          <w:rFonts w:ascii="Aptos" w:hAnsi="Aptos"/>
          <w:color w:val="201B52"/>
          <w:sz w:val="24"/>
          <w:lang w:val="en-US"/>
        </w:rPr>
        <w:t>If there is a well-founded suspicion of non-compliance with the provisions of this PROTOCOL, you are obliged to report it immediately through the mechanisms contemplated in the INTERNAL INFORMATION SYSTEM AND WHISTLEBLOWING CHANNEL of MOLGAS ENERGY GROUP.</w:t>
      </w:r>
    </w:p>
    <w:p w14:paraId="45ED6043" w14:textId="77777777" w:rsidR="00E34E33" w:rsidRPr="00E34E33" w:rsidRDefault="00E34E33" w:rsidP="00E34E33">
      <w:pPr>
        <w:spacing w:before="120" w:after="120" w:line="240" w:lineRule="auto"/>
        <w:jc w:val="both"/>
        <w:rPr>
          <w:rFonts w:ascii="Aptos" w:hAnsi="Aptos"/>
          <w:b/>
          <w:bCs/>
          <w:color w:val="201B52"/>
          <w:sz w:val="20"/>
          <w:szCs w:val="20"/>
          <w:lang w:val="en-US"/>
        </w:rPr>
      </w:pPr>
    </w:p>
    <w:p w14:paraId="3E92B4D2" w14:textId="77777777" w:rsidR="00E34E33" w:rsidRPr="00E34E33" w:rsidRDefault="00E34E33" w:rsidP="00E34E33">
      <w:pPr>
        <w:spacing w:before="120" w:after="120" w:line="240" w:lineRule="auto"/>
        <w:jc w:val="both"/>
        <w:rPr>
          <w:rFonts w:ascii="Aptos" w:hAnsi="Aptos"/>
          <w:b/>
          <w:bCs/>
          <w:color w:val="201B52"/>
          <w:sz w:val="20"/>
          <w:szCs w:val="20"/>
          <w:lang w:val="en-US"/>
        </w:rPr>
      </w:pPr>
    </w:p>
    <w:p w14:paraId="1D2FA4E6" w14:textId="77777777" w:rsidR="00E34E33" w:rsidRPr="00E34E33" w:rsidRDefault="00E34E33" w:rsidP="00E34E33">
      <w:pPr>
        <w:pStyle w:val="Prrafodelista"/>
        <w:numPr>
          <w:ilvl w:val="0"/>
          <w:numId w:val="31"/>
        </w:numPr>
        <w:spacing w:before="120" w:after="120"/>
        <w:jc w:val="both"/>
        <w:rPr>
          <w:rFonts w:ascii="Aptos" w:hAnsi="Aptos"/>
          <w:b/>
          <w:bCs/>
          <w:color w:val="201B52"/>
          <w:sz w:val="24"/>
          <w:szCs w:val="24"/>
          <w:lang w:val="en-US"/>
        </w:rPr>
      </w:pPr>
      <w:r w:rsidRPr="00E34E33">
        <w:rPr>
          <w:rFonts w:ascii="Aptos" w:hAnsi="Aptos"/>
          <w:b/>
          <w:bCs/>
          <w:color w:val="201B52"/>
          <w:sz w:val="24"/>
          <w:szCs w:val="24"/>
          <w:lang w:val="en-US"/>
        </w:rPr>
        <w:t>CONSEQUENCES OF NON-COMPLIANCE WITH THE PROTOCOL</w:t>
      </w:r>
    </w:p>
    <w:p w14:paraId="47D5BF68" w14:textId="77777777" w:rsidR="00E34E33" w:rsidRPr="00E34E33" w:rsidRDefault="00E34E33" w:rsidP="00E34E33">
      <w:pPr>
        <w:spacing w:before="120" w:after="120" w:line="240" w:lineRule="auto"/>
        <w:jc w:val="both"/>
        <w:rPr>
          <w:rFonts w:ascii="Aptos" w:hAnsi="Aptos"/>
          <w:color w:val="201B52"/>
          <w:sz w:val="16"/>
          <w:szCs w:val="16"/>
          <w:lang w:val="en-US"/>
        </w:rPr>
      </w:pPr>
    </w:p>
    <w:p w14:paraId="6E1CC6EE" w14:textId="77777777" w:rsidR="00E34E33" w:rsidRPr="00E34E33" w:rsidRDefault="00E34E33" w:rsidP="00E34E33">
      <w:pPr>
        <w:spacing w:before="120" w:after="120" w:line="240" w:lineRule="auto"/>
        <w:jc w:val="both"/>
        <w:rPr>
          <w:rFonts w:ascii="Aptos" w:hAnsi="Aptos"/>
          <w:color w:val="201B52"/>
          <w:sz w:val="24"/>
          <w:lang w:val="en-US"/>
        </w:rPr>
      </w:pPr>
      <w:r w:rsidRPr="00E34E33">
        <w:rPr>
          <w:rFonts w:ascii="Aptos" w:hAnsi="Aptos"/>
          <w:color w:val="201B52"/>
          <w:sz w:val="24"/>
          <w:lang w:val="en-US"/>
        </w:rPr>
        <w:t>When non-compliance with any point contained in this PROTOCOL HAS BEEN DEMONSTRATED, MOLGAS ENERGY GROUP will be entitled to impose the corresponding disciplinary sanctions, respecting, in all cases, the content of the applicable legislation on the regulation of employees and the content of the set of working conditions agreed in the corresponding legal entity or sector of economic activity.</w:t>
      </w:r>
    </w:p>
    <w:p w14:paraId="6108839B" w14:textId="77777777" w:rsidR="00E34E33" w:rsidRPr="00E34E33" w:rsidRDefault="00E34E33" w:rsidP="00E34E33">
      <w:pPr>
        <w:spacing w:before="120" w:after="120" w:line="240" w:lineRule="auto"/>
        <w:rPr>
          <w:rFonts w:ascii="Aptos" w:hAnsi="Aptos"/>
          <w:color w:val="201B52"/>
          <w:sz w:val="20"/>
          <w:szCs w:val="20"/>
          <w:lang w:val="en-US"/>
        </w:rPr>
      </w:pPr>
    </w:p>
    <w:p w14:paraId="1EADC7C6" w14:textId="77777777" w:rsidR="00E34E33" w:rsidRPr="00E34E33" w:rsidRDefault="00E34E33" w:rsidP="00E34E33">
      <w:pPr>
        <w:spacing w:before="120" w:after="120" w:line="240" w:lineRule="auto"/>
        <w:rPr>
          <w:rFonts w:ascii="Aptos" w:hAnsi="Aptos"/>
          <w:color w:val="201B52"/>
          <w:sz w:val="20"/>
          <w:szCs w:val="20"/>
          <w:lang w:val="en-US"/>
        </w:rPr>
      </w:pPr>
    </w:p>
    <w:p w14:paraId="0BD5B114" w14:textId="77777777" w:rsidR="00E34E33" w:rsidRPr="00E34E33" w:rsidRDefault="00E34E33" w:rsidP="00E34E33">
      <w:pPr>
        <w:pStyle w:val="Prrafodelista"/>
        <w:numPr>
          <w:ilvl w:val="0"/>
          <w:numId w:val="31"/>
        </w:numPr>
        <w:spacing w:before="120" w:after="120"/>
        <w:jc w:val="both"/>
        <w:rPr>
          <w:rFonts w:ascii="Aptos" w:hAnsi="Aptos"/>
          <w:b/>
          <w:bCs/>
          <w:color w:val="201B52"/>
          <w:sz w:val="24"/>
          <w:szCs w:val="24"/>
        </w:rPr>
      </w:pPr>
      <w:r w:rsidRPr="00E34E33">
        <w:rPr>
          <w:rFonts w:ascii="Aptos" w:hAnsi="Aptos"/>
          <w:b/>
          <w:bCs/>
          <w:color w:val="201B52"/>
          <w:sz w:val="24"/>
          <w:szCs w:val="24"/>
          <w:lang w:val="en-US"/>
        </w:rPr>
        <w:t xml:space="preserve">APPROVAL AND ENTRY INTO FORCE. </w:t>
      </w:r>
      <w:r w:rsidRPr="00E34E33">
        <w:rPr>
          <w:rFonts w:ascii="Aptos" w:hAnsi="Aptos"/>
          <w:b/>
          <w:bCs/>
          <w:color w:val="201B52"/>
          <w:sz w:val="24"/>
          <w:szCs w:val="24"/>
        </w:rPr>
        <w:t>UPDATE</w:t>
      </w:r>
    </w:p>
    <w:p w14:paraId="1FF6FDF2" w14:textId="77777777" w:rsidR="00E34E33" w:rsidRPr="00E34E33" w:rsidRDefault="00E34E33" w:rsidP="00E34E33">
      <w:pPr>
        <w:spacing w:before="120" w:after="120" w:line="240" w:lineRule="auto"/>
        <w:jc w:val="both"/>
        <w:rPr>
          <w:rFonts w:ascii="Aptos" w:hAnsi="Aptos"/>
          <w:color w:val="201B52"/>
          <w:sz w:val="16"/>
          <w:szCs w:val="16"/>
        </w:rPr>
      </w:pPr>
    </w:p>
    <w:p w14:paraId="6178F0CC" w14:textId="77777777" w:rsidR="00E34E33" w:rsidRPr="00E34E33" w:rsidRDefault="00E34E33" w:rsidP="00E34E33">
      <w:pPr>
        <w:spacing w:before="120" w:after="120" w:line="240" w:lineRule="auto"/>
        <w:jc w:val="both"/>
        <w:rPr>
          <w:rFonts w:ascii="Aptos" w:hAnsi="Aptos"/>
          <w:color w:val="201B52"/>
          <w:sz w:val="24"/>
          <w:lang w:val="en-US"/>
        </w:rPr>
      </w:pPr>
      <w:r w:rsidRPr="00E34E33">
        <w:rPr>
          <w:rFonts w:ascii="Aptos" w:hAnsi="Aptos"/>
          <w:color w:val="201B52"/>
          <w:sz w:val="24"/>
          <w:lang w:val="en-US"/>
        </w:rPr>
        <w:t xml:space="preserve">This PROTOCOL has been approved by the GLOBAL COMPLIANCE SUPERVISORY BODY of MOLGAS ENERGY </w:t>
      </w:r>
      <w:proofErr w:type="gramStart"/>
      <w:r w:rsidRPr="00E34E33">
        <w:rPr>
          <w:rFonts w:ascii="Aptos" w:hAnsi="Aptos"/>
          <w:color w:val="201B52"/>
          <w:sz w:val="24"/>
          <w:lang w:val="en-US"/>
        </w:rPr>
        <w:t>GROUP, and</w:t>
      </w:r>
      <w:proofErr w:type="gramEnd"/>
      <w:r w:rsidRPr="00E34E33">
        <w:rPr>
          <w:rFonts w:ascii="Aptos" w:hAnsi="Aptos"/>
          <w:color w:val="201B52"/>
          <w:sz w:val="24"/>
          <w:lang w:val="en-US"/>
        </w:rPr>
        <w:t xml:space="preserve"> has been in force since the day of its approval, and has binding effects for its recipients, as contemplated in Chapter 2. thereof.</w:t>
      </w:r>
    </w:p>
    <w:p w14:paraId="77BAB1AD" w14:textId="77777777" w:rsidR="00E34E33" w:rsidRPr="00E34E33" w:rsidRDefault="00E34E33" w:rsidP="00E34E33">
      <w:pPr>
        <w:spacing w:before="120" w:after="120" w:line="240" w:lineRule="auto"/>
        <w:jc w:val="both"/>
        <w:rPr>
          <w:rFonts w:ascii="Aptos" w:hAnsi="Aptos"/>
          <w:color w:val="201B52"/>
          <w:sz w:val="16"/>
          <w:szCs w:val="16"/>
          <w:lang w:val="en-US"/>
        </w:rPr>
      </w:pPr>
    </w:p>
    <w:p w14:paraId="503F2572" w14:textId="77777777" w:rsidR="00E34E33" w:rsidRPr="00E34E33" w:rsidRDefault="00E34E33" w:rsidP="00E34E33">
      <w:pPr>
        <w:spacing w:before="120" w:after="120" w:line="240" w:lineRule="auto"/>
        <w:jc w:val="both"/>
        <w:rPr>
          <w:rFonts w:ascii="Aptos" w:hAnsi="Aptos"/>
          <w:color w:val="201B52"/>
          <w:lang w:val="en-US"/>
        </w:rPr>
      </w:pPr>
      <w:r w:rsidRPr="00E34E33">
        <w:rPr>
          <w:rFonts w:ascii="Aptos" w:hAnsi="Aptos"/>
          <w:color w:val="201B52"/>
          <w:sz w:val="24"/>
          <w:lang w:val="en-US"/>
        </w:rPr>
        <w:t>Likewise, this PROTOCOL will be subject to review and, where appropriate, update, on an ongoing basis, by the GLOBAL COMPLIANCE SUPERVISORY BODY of MOLGAS ENERGY GROUP. Specifically, it will be modified whenever the possibility of some improvement is assessed and, in any case, when the existence of a risk that has not been previously assessed is confirmed.</w:t>
      </w:r>
    </w:p>
    <w:p w14:paraId="38A25E95" w14:textId="3B1CEC58" w:rsidR="00CC2222" w:rsidRPr="00E34E33" w:rsidRDefault="00CC2222" w:rsidP="00E34E33">
      <w:pPr>
        <w:spacing w:before="120" w:after="120" w:line="240" w:lineRule="auto"/>
        <w:rPr>
          <w:rFonts w:ascii="Aptos" w:hAnsi="Aptos"/>
          <w:color w:val="201B52"/>
          <w:lang w:val="en-US"/>
        </w:rPr>
      </w:pPr>
    </w:p>
    <w:sectPr w:rsidR="00CC2222" w:rsidRPr="00E34E33" w:rsidSect="00107DE8">
      <w:headerReference w:type="even" r:id="rId8"/>
      <w:headerReference w:type="default" r:id="rId9"/>
      <w:footerReference w:type="even" r:id="rId10"/>
      <w:footerReference w:type="default" r:id="rId11"/>
      <w:headerReference w:type="first" r:id="rId12"/>
      <w:footerReference w:type="first" r:id="rId13"/>
      <w:pgSz w:w="11899" w:h="16895"/>
      <w:pgMar w:top="2665" w:right="1701" w:bottom="1985" w:left="1701"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11F1" w14:textId="77777777" w:rsidR="002D7F05" w:rsidRDefault="002D7F05" w:rsidP="00136351">
      <w:pPr>
        <w:spacing w:after="0" w:line="240" w:lineRule="auto"/>
      </w:pPr>
      <w:r>
        <w:separator/>
      </w:r>
    </w:p>
  </w:endnote>
  <w:endnote w:type="continuationSeparator" w:id="0">
    <w:p w14:paraId="19344679" w14:textId="77777777" w:rsidR="002D7F05" w:rsidRDefault="002D7F05" w:rsidP="0013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auto"/>
    <w:pitch w:val="variable"/>
    <w:sig w:usb0="A10000FF" w:usb1="4000005B" w:usb2="00000000" w:usb3="00000000" w:csb0="0000019B" w:csb1="00000000"/>
  </w:font>
  <w:font w:name="GuggenheimHTFBook">
    <w:altName w:val="Calibri"/>
    <w:panose1 w:val="020B0604020202020204"/>
    <w:charset w:val="00"/>
    <w:family w:val="swiss"/>
    <w:notTrueType/>
    <w:pitch w:val="default"/>
    <w:sig w:usb0="00000003" w:usb1="00000000" w:usb2="00000000" w:usb3="00000000" w:csb0="00000001" w:csb1="00000000"/>
  </w:font>
  <w:font w:name="Gotham Medium">
    <w:altName w:val="Calibri"/>
    <w:panose1 w:val="00000000000000000000"/>
    <w:charset w:val="00"/>
    <w:family w:val="auto"/>
    <w:pitch w:val="variable"/>
    <w:sig w:usb0="A100007F" w:usb1="4000005B" w:usb2="00000000" w:usb3="00000000" w:csb0="0000009B" w:csb1="00000000"/>
  </w:font>
  <w:font w:name="Gotham Light">
    <w:altName w:val="Calibri"/>
    <w:panose1 w:val="00000000000000000000"/>
    <w:charset w:val="00"/>
    <w:family w:val="auto"/>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708" w14:textId="77777777" w:rsidR="00584E63" w:rsidRDefault="00584E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E84" w14:textId="77777777" w:rsidR="00584E63" w:rsidRDefault="00584E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DD9C" w14:textId="77777777" w:rsidR="00584E63" w:rsidRDefault="00584E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DBFC" w14:textId="77777777" w:rsidR="002D7F05" w:rsidRDefault="002D7F05" w:rsidP="00136351">
      <w:pPr>
        <w:spacing w:after="0" w:line="240" w:lineRule="auto"/>
      </w:pPr>
      <w:r>
        <w:separator/>
      </w:r>
    </w:p>
  </w:footnote>
  <w:footnote w:type="continuationSeparator" w:id="0">
    <w:p w14:paraId="1DB96361" w14:textId="77777777" w:rsidR="002D7F05" w:rsidRDefault="002D7F05" w:rsidP="0013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B23F" w14:textId="77777777" w:rsidR="00584E63" w:rsidRDefault="00584E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F2C8" w14:textId="77777777" w:rsidR="00136351" w:rsidRPr="00107DE8" w:rsidRDefault="00107DE8" w:rsidP="00107DE8">
    <w:pPr>
      <w:pStyle w:val="Encabezado"/>
    </w:pPr>
    <w:r>
      <w:rPr>
        <w:noProof/>
      </w:rPr>
      <w:drawing>
        <wp:anchor distT="0" distB="0" distL="114300" distR="114300" simplePos="0" relativeHeight="251658240" behindDoc="1" locked="0" layoutInCell="1" allowOverlap="1" wp14:anchorId="625A6BA4" wp14:editId="41E04EF7">
          <wp:simplePos x="0" y="0"/>
          <wp:positionH relativeFrom="column">
            <wp:posOffset>-1131837</wp:posOffset>
          </wp:positionH>
          <wp:positionV relativeFrom="paragraph">
            <wp:posOffset>-557638</wp:posOffset>
          </wp:positionV>
          <wp:extent cx="7587079" cy="10780295"/>
          <wp:effectExtent l="0" t="0" r="0" b="2540"/>
          <wp:wrapNone/>
          <wp:docPr id="15203612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6121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87079" cy="107802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967B" w14:textId="77777777" w:rsidR="00584E63" w:rsidRDefault="00584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678"/>
    <w:multiLevelType w:val="multilevel"/>
    <w:tmpl w:val="B26C4CD6"/>
    <w:lvl w:ilvl="0">
      <w:start w:val="1"/>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3964111"/>
    <w:multiLevelType w:val="hybridMultilevel"/>
    <w:tmpl w:val="16507B3C"/>
    <w:lvl w:ilvl="0" w:tplc="50DC75D6">
      <w:start w:val="1"/>
      <w:numFmt w:val="upperRoman"/>
      <w:pStyle w:val="Tit1"/>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5344F30"/>
    <w:multiLevelType w:val="hybridMultilevel"/>
    <w:tmpl w:val="67441F96"/>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3" w15:restartNumberingAfterBreak="0">
    <w:nsid w:val="0C066BDD"/>
    <w:multiLevelType w:val="hybridMultilevel"/>
    <w:tmpl w:val="747E9404"/>
    <w:lvl w:ilvl="0" w:tplc="F2C28C58">
      <w:start w:val="1"/>
      <w:numFmt w:val="lowerLetter"/>
      <w:lvlText w:val="%1)"/>
      <w:lvlJc w:val="left"/>
      <w:pPr>
        <w:ind w:left="720" w:hanging="360"/>
      </w:pPr>
      <w:rPr>
        <w:rFonts w:ascii="Cambria" w:hAnsi="Cambria"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6A0352"/>
    <w:multiLevelType w:val="hybridMultilevel"/>
    <w:tmpl w:val="DDE05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760C35"/>
    <w:multiLevelType w:val="hybridMultilevel"/>
    <w:tmpl w:val="11C650A0"/>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7C4F31"/>
    <w:multiLevelType w:val="hybridMultilevel"/>
    <w:tmpl w:val="8C843BAC"/>
    <w:lvl w:ilvl="0" w:tplc="E8189E70">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E64290"/>
    <w:multiLevelType w:val="hybridMultilevel"/>
    <w:tmpl w:val="A2D2EC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6F0226"/>
    <w:multiLevelType w:val="hybridMultilevel"/>
    <w:tmpl w:val="27381DCC"/>
    <w:lvl w:ilvl="0" w:tplc="BFBE50D2">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A716B8"/>
    <w:multiLevelType w:val="hybridMultilevel"/>
    <w:tmpl w:val="9266F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384F49"/>
    <w:multiLevelType w:val="multilevel"/>
    <w:tmpl w:val="E5907F68"/>
    <w:lvl w:ilvl="0">
      <w:start w:val="1"/>
      <w:numFmt w:val="decimal"/>
      <w:lvlText w:val="%1."/>
      <w:lvlJc w:val="left"/>
      <w:pPr>
        <w:ind w:left="360" w:hanging="360"/>
      </w:pPr>
      <w:rPr>
        <w:rFonts w:hint="default"/>
      </w:rPr>
    </w:lvl>
    <w:lvl w:ilvl="1">
      <w:start w:val="2"/>
      <w:numFmt w:val="decimal"/>
      <w:pStyle w:val="1Ti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250C68"/>
    <w:multiLevelType w:val="hybridMultilevel"/>
    <w:tmpl w:val="E3FA800C"/>
    <w:lvl w:ilvl="0" w:tplc="A220264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247E3445"/>
    <w:multiLevelType w:val="hybridMultilevel"/>
    <w:tmpl w:val="0A20CF64"/>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C61607"/>
    <w:multiLevelType w:val="hybridMultilevel"/>
    <w:tmpl w:val="67B8593E"/>
    <w:lvl w:ilvl="0" w:tplc="4C469BFA">
      <w:start w:val="1"/>
      <w:numFmt w:val="decimal"/>
      <w:lvlText w:val="%1."/>
      <w:lvlJc w:val="left"/>
      <w:pPr>
        <w:ind w:left="36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03F05"/>
    <w:multiLevelType w:val="hybridMultilevel"/>
    <w:tmpl w:val="D3FC00A6"/>
    <w:lvl w:ilvl="0" w:tplc="7C1CA00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ED55AA"/>
    <w:multiLevelType w:val="hybridMultilevel"/>
    <w:tmpl w:val="FA288500"/>
    <w:lvl w:ilvl="0" w:tplc="F2C28C58">
      <w:start w:val="1"/>
      <w:numFmt w:val="lowerLetter"/>
      <w:lvlText w:val="%1)"/>
      <w:lvlJc w:val="left"/>
      <w:pPr>
        <w:ind w:left="720" w:hanging="360"/>
      </w:pPr>
      <w:rPr>
        <w:rFonts w:ascii="Cambria" w:hAnsi="Cambri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EF2DAE"/>
    <w:multiLevelType w:val="hybridMultilevel"/>
    <w:tmpl w:val="4740D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1471C25"/>
    <w:multiLevelType w:val="hybridMultilevel"/>
    <w:tmpl w:val="6C6CCF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7A2425"/>
    <w:multiLevelType w:val="hybridMultilevel"/>
    <w:tmpl w:val="F9106800"/>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1E0870"/>
    <w:multiLevelType w:val="hybridMultilevel"/>
    <w:tmpl w:val="BBBA3D9E"/>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0" w15:restartNumberingAfterBreak="0">
    <w:nsid w:val="38705031"/>
    <w:multiLevelType w:val="multilevel"/>
    <w:tmpl w:val="64CEC2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D3029E"/>
    <w:multiLevelType w:val="hybridMultilevel"/>
    <w:tmpl w:val="3564AF8A"/>
    <w:lvl w:ilvl="0" w:tplc="0AA6C832">
      <w:start w:val="1"/>
      <w:numFmt w:val="decimal"/>
      <w:lvlText w:val="%1."/>
      <w:lvlJc w:val="left"/>
      <w:pPr>
        <w:ind w:left="644" w:hanging="360"/>
      </w:pPr>
      <w:rPr>
        <w:rFonts w:hint="default"/>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BAE33CE"/>
    <w:multiLevelType w:val="hybridMultilevel"/>
    <w:tmpl w:val="C68C76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EA242D"/>
    <w:multiLevelType w:val="hybridMultilevel"/>
    <w:tmpl w:val="29FC0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0640452"/>
    <w:multiLevelType w:val="hybridMultilevel"/>
    <w:tmpl w:val="EF4CC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322349C"/>
    <w:multiLevelType w:val="hybridMultilevel"/>
    <w:tmpl w:val="E25468EE"/>
    <w:lvl w:ilvl="0" w:tplc="BFBE50D2">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A6A75E7"/>
    <w:multiLevelType w:val="hybridMultilevel"/>
    <w:tmpl w:val="E348F6F8"/>
    <w:lvl w:ilvl="0" w:tplc="0AA6C832">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F51B55"/>
    <w:multiLevelType w:val="hybridMultilevel"/>
    <w:tmpl w:val="7EFE6F56"/>
    <w:lvl w:ilvl="0" w:tplc="A224E5F0">
      <w:start w:val="1"/>
      <w:numFmt w:val="lowerLetter"/>
      <w:pStyle w:val="VIETA1"/>
      <w:lvlText w:val="%1)"/>
      <w:lvlJc w:val="left"/>
      <w:pPr>
        <w:ind w:left="644" w:hanging="360"/>
      </w:pPr>
      <w:rPr>
        <w:rFonts w:ascii="Gotham Book" w:eastAsia="Times New Roman" w:hAnsi="Gotham Book" w:cs="GuggenheimHTFBook"/>
        <w:color w:val="000099"/>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8" w15:restartNumberingAfterBreak="0">
    <w:nsid w:val="50EA6476"/>
    <w:multiLevelType w:val="hybridMultilevel"/>
    <w:tmpl w:val="9E5C9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415EA8"/>
    <w:multiLevelType w:val="hybridMultilevel"/>
    <w:tmpl w:val="749C29FE"/>
    <w:lvl w:ilvl="0" w:tplc="0C0A0005">
      <w:start w:val="1"/>
      <w:numFmt w:val="bullet"/>
      <w:lvlText w:val=""/>
      <w:lvlJc w:val="left"/>
      <w:pPr>
        <w:ind w:left="360" w:hanging="360"/>
      </w:pPr>
      <w:rPr>
        <w:rFonts w:ascii="Wingdings" w:hAnsi="Wingdings" w:hint="default"/>
      </w:rPr>
    </w:lvl>
    <w:lvl w:ilvl="1" w:tplc="4E905458">
      <w:start w:val="1"/>
      <w:numFmt w:val="upperRoman"/>
      <w:pStyle w:val="VIETA2"/>
      <w:lvlText w:val="%2."/>
      <w:lvlJc w:val="right"/>
      <w:pPr>
        <w:ind w:left="502" w:hanging="360"/>
      </w:pPr>
      <w:rPr>
        <w:rFonts w:ascii="Gotham Medium" w:hAnsi="Gotham Medium" w:hint="default"/>
        <w:color w:val="7C5050"/>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34264A0"/>
    <w:multiLevelType w:val="hybridMultilevel"/>
    <w:tmpl w:val="70C6E816"/>
    <w:lvl w:ilvl="0" w:tplc="AFFCF6BA">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7911B9B"/>
    <w:multiLevelType w:val="hybridMultilevel"/>
    <w:tmpl w:val="661482CA"/>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32" w15:restartNumberingAfterBreak="0">
    <w:nsid w:val="5CAC7894"/>
    <w:multiLevelType w:val="hybridMultilevel"/>
    <w:tmpl w:val="31748078"/>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324BCF"/>
    <w:multiLevelType w:val="hybridMultilevel"/>
    <w:tmpl w:val="9080F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9A64F68"/>
    <w:multiLevelType w:val="hybridMultilevel"/>
    <w:tmpl w:val="8D7C4BB0"/>
    <w:lvl w:ilvl="0" w:tplc="ABA446E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A14D31"/>
    <w:multiLevelType w:val="hybridMultilevel"/>
    <w:tmpl w:val="A560E5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856711"/>
    <w:multiLevelType w:val="multilevel"/>
    <w:tmpl w:val="938A9324"/>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7" w15:restartNumberingAfterBreak="0">
    <w:nsid w:val="7E7D6415"/>
    <w:multiLevelType w:val="hybridMultilevel"/>
    <w:tmpl w:val="4C12AD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FF47C1E"/>
    <w:multiLevelType w:val="hybridMultilevel"/>
    <w:tmpl w:val="1F8CC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5735981">
    <w:abstractNumId w:val="38"/>
  </w:num>
  <w:num w:numId="2" w16cid:durableId="1849442865">
    <w:abstractNumId w:val="29"/>
  </w:num>
  <w:num w:numId="3" w16cid:durableId="376592886">
    <w:abstractNumId w:val="6"/>
  </w:num>
  <w:num w:numId="4" w16cid:durableId="184292966">
    <w:abstractNumId w:val="4"/>
  </w:num>
  <w:num w:numId="5" w16cid:durableId="1055278469">
    <w:abstractNumId w:val="10"/>
  </w:num>
  <w:num w:numId="6" w16cid:durableId="1316449384">
    <w:abstractNumId w:val="27"/>
  </w:num>
  <w:num w:numId="7" w16cid:durableId="573786477">
    <w:abstractNumId w:val="1"/>
  </w:num>
  <w:num w:numId="8" w16cid:durableId="654576788">
    <w:abstractNumId w:val="32"/>
  </w:num>
  <w:num w:numId="9" w16cid:durableId="991636704">
    <w:abstractNumId w:val="19"/>
  </w:num>
  <w:num w:numId="10" w16cid:durableId="1272207078">
    <w:abstractNumId w:val="2"/>
  </w:num>
  <w:num w:numId="11" w16cid:durableId="2015306366">
    <w:abstractNumId w:val="12"/>
  </w:num>
  <w:num w:numId="12" w16cid:durableId="1766656147">
    <w:abstractNumId w:val="31"/>
  </w:num>
  <w:num w:numId="13" w16cid:durableId="716465843">
    <w:abstractNumId w:val="5"/>
  </w:num>
  <w:num w:numId="14" w16cid:durableId="458037765">
    <w:abstractNumId w:val="34"/>
  </w:num>
  <w:num w:numId="15" w16cid:durableId="1170825862">
    <w:abstractNumId w:val="23"/>
  </w:num>
  <w:num w:numId="16" w16cid:durableId="689767055">
    <w:abstractNumId w:val="28"/>
  </w:num>
  <w:num w:numId="17" w16cid:durableId="1916088897">
    <w:abstractNumId w:val="20"/>
  </w:num>
  <w:num w:numId="18" w16cid:durableId="1048723245">
    <w:abstractNumId w:val="18"/>
  </w:num>
  <w:num w:numId="19" w16cid:durableId="62946357">
    <w:abstractNumId w:val="17"/>
  </w:num>
  <w:num w:numId="20" w16cid:durableId="1608266643">
    <w:abstractNumId w:val="13"/>
  </w:num>
  <w:num w:numId="21" w16cid:durableId="1657342104">
    <w:abstractNumId w:val="7"/>
  </w:num>
  <w:num w:numId="22" w16cid:durableId="168448367">
    <w:abstractNumId w:val="35"/>
  </w:num>
  <w:num w:numId="23" w16cid:durableId="167916283">
    <w:abstractNumId w:val="30"/>
  </w:num>
  <w:num w:numId="24" w16cid:durableId="159927912">
    <w:abstractNumId w:val="21"/>
  </w:num>
  <w:num w:numId="25" w16cid:durableId="1469663962">
    <w:abstractNumId w:val="26"/>
  </w:num>
  <w:num w:numId="26" w16cid:durableId="453524523">
    <w:abstractNumId w:val="15"/>
  </w:num>
  <w:num w:numId="27" w16cid:durableId="1083724079">
    <w:abstractNumId w:val="3"/>
  </w:num>
  <w:num w:numId="28" w16cid:durableId="1225022725">
    <w:abstractNumId w:val="22"/>
  </w:num>
  <w:num w:numId="29" w16cid:durableId="2083330195">
    <w:abstractNumId w:val="24"/>
  </w:num>
  <w:num w:numId="30" w16cid:durableId="1646396394">
    <w:abstractNumId w:val="0"/>
  </w:num>
  <w:num w:numId="31" w16cid:durableId="811946518">
    <w:abstractNumId w:val="36"/>
  </w:num>
  <w:num w:numId="32" w16cid:durableId="1651398772">
    <w:abstractNumId w:val="16"/>
  </w:num>
  <w:num w:numId="33" w16cid:durableId="903567181">
    <w:abstractNumId w:val="37"/>
  </w:num>
  <w:num w:numId="34" w16cid:durableId="942030997">
    <w:abstractNumId w:val="25"/>
  </w:num>
  <w:num w:numId="35" w16cid:durableId="1048842811">
    <w:abstractNumId w:val="8"/>
  </w:num>
  <w:num w:numId="36" w16cid:durableId="1263297351">
    <w:abstractNumId w:val="33"/>
  </w:num>
  <w:num w:numId="37" w16cid:durableId="1855001273">
    <w:abstractNumId w:val="9"/>
  </w:num>
  <w:num w:numId="38" w16cid:durableId="1897087297">
    <w:abstractNumId w:val="14"/>
  </w:num>
  <w:num w:numId="39" w16cid:durableId="203298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0C"/>
    <w:rsid w:val="00107DE8"/>
    <w:rsid w:val="00136351"/>
    <w:rsid w:val="002B7634"/>
    <w:rsid w:val="002D621D"/>
    <w:rsid w:val="002D7F05"/>
    <w:rsid w:val="00331891"/>
    <w:rsid w:val="00356A0C"/>
    <w:rsid w:val="00435EB8"/>
    <w:rsid w:val="004916A5"/>
    <w:rsid w:val="0051290F"/>
    <w:rsid w:val="005231DC"/>
    <w:rsid w:val="005648E9"/>
    <w:rsid w:val="00584E63"/>
    <w:rsid w:val="006D19EA"/>
    <w:rsid w:val="00797EB1"/>
    <w:rsid w:val="00915D29"/>
    <w:rsid w:val="00917A9E"/>
    <w:rsid w:val="00AA7874"/>
    <w:rsid w:val="00C11265"/>
    <w:rsid w:val="00CC2222"/>
    <w:rsid w:val="00CD04A0"/>
    <w:rsid w:val="00E1301A"/>
    <w:rsid w:val="00E34E33"/>
    <w:rsid w:val="00EE2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9C2A"/>
  <w15:docId w15:val="{DE852CEE-4231-D447-9983-26731AA5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3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351"/>
    <w:rPr>
      <w:rFonts w:ascii="Calibri" w:eastAsia="Calibri" w:hAnsi="Calibri" w:cs="Calibri"/>
      <w:color w:val="000000"/>
      <w:sz w:val="22"/>
    </w:rPr>
  </w:style>
  <w:style w:type="paragraph" w:styleId="Piedepgina">
    <w:name w:val="footer"/>
    <w:basedOn w:val="Normal"/>
    <w:link w:val="PiedepginaCar"/>
    <w:uiPriority w:val="99"/>
    <w:unhideWhenUsed/>
    <w:rsid w:val="001363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351"/>
    <w:rPr>
      <w:rFonts w:ascii="Calibri" w:eastAsia="Calibri" w:hAnsi="Calibri" w:cs="Calibri"/>
      <w:color w:val="000000"/>
      <w:sz w:val="22"/>
    </w:rPr>
  </w:style>
  <w:style w:type="paragraph" w:styleId="Prrafodelista">
    <w:name w:val="List Paragraph"/>
    <w:basedOn w:val="Normal"/>
    <w:link w:val="PrrafodelistaCar"/>
    <w:uiPriority w:val="34"/>
    <w:qFormat/>
    <w:rsid w:val="00C11265"/>
    <w:pPr>
      <w:spacing w:after="0" w:line="240" w:lineRule="auto"/>
      <w:ind w:left="720"/>
      <w:contextualSpacing/>
    </w:pPr>
    <w:rPr>
      <w:rFonts w:asciiTheme="minorHAnsi" w:eastAsiaTheme="minorHAnsi" w:hAnsiTheme="minorHAnsi" w:cstheme="minorBidi"/>
      <w:color w:val="auto"/>
      <w:kern w:val="0"/>
      <w:szCs w:val="22"/>
      <w:lang w:eastAsia="en-US"/>
      <w14:ligatures w14:val="none"/>
    </w:rPr>
  </w:style>
  <w:style w:type="paragraph" w:customStyle="1" w:styleId="Tit10">
    <w:name w:val="Tit1"/>
    <w:basedOn w:val="Normal"/>
    <w:link w:val="Tit1Car"/>
    <w:qFormat/>
    <w:rsid w:val="00C11265"/>
    <w:pPr>
      <w:spacing w:after="0" w:line="240" w:lineRule="auto"/>
      <w:ind w:left="426" w:hanging="426"/>
      <w:jc w:val="both"/>
    </w:pPr>
    <w:rPr>
      <w:rFonts w:ascii="Gotham Medium" w:eastAsiaTheme="minorHAnsi" w:hAnsi="Gotham Medium" w:cstheme="minorBidi"/>
      <w:b/>
      <w:color w:val="2F5496" w:themeColor="accent1" w:themeShade="BF"/>
      <w:kern w:val="0"/>
      <w:sz w:val="24"/>
      <w:lang w:eastAsia="en-US"/>
      <w14:ligatures w14:val="none"/>
    </w:rPr>
  </w:style>
  <w:style w:type="character" w:customStyle="1" w:styleId="Tit1Car">
    <w:name w:val="Tit1 Car"/>
    <w:basedOn w:val="Fuentedeprrafopredeter"/>
    <w:link w:val="Tit10"/>
    <w:rsid w:val="00C11265"/>
    <w:rPr>
      <w:rFonts w:ascii="Gotham Medium" w:eastAsiaTheme="minorHAnsi" w:hAnsi="Gotham Medium"/>
      <w:b/>
      <w:color w:val="2F5496" w:themeColor="accent1" w:themeShade="BF"/>
      <w:kern w:val="0"/>
      <w:lang w:eastAsia="en-US"/>
      <w14:ligatures w14:val="none"/>
    </w:rPr>
  </w:style>
  <w:style w:type="character" w:customStyle="1" w:styleId="PrrafodelistaCar">
    <w:name w:val="Párrafo de lista Car"/>
    <w:basedOn w:val="Fuentedeprrafopredeter"/>
    <w:link w:val="Prrafodelista"/>
    <w:uiPriority w:val="34"/>
    <w:rsid w:val="00C11265"/>
    <w:rPr>
      <w:rFonts w:eastAsiaTheme="minorHAnsi"/>
      <w:kern w:val="0"/>
      <w:sz w:val="22"/>
      <w:szCs w:val="22"/>
      <w:lang w:eastAsia="en-US"/>
      <w14:ligatures w14:val="none"/>
    </w:rPr>
  </w:style>
  <w:style w:type="paragraph" w:customStyle="1" w:styleId="VIETA2">
    <w:name w:val="VIÑETA 2"/>
    <w:basedOn w:val="Prrafodelista"/>
    <w:qFormat/>
    <w:rsid w:val="00CC2222"/>
    <w:pPr>
      <w:numPr>
        <w:ilvl w:val="1"/>
        <w:numId w:val="2"/>
      </w:numPr>
      <w:autoSpaceDE w:val="0"/>
      <w:autoSpaceDN w:val="0"/>
      <w:adjustRightInd w:val="0"/>
      <w:spacing w:after="60"/>
      <w:contextualSpacing w:val="0"/>
    </w:pPr>
    <w:rPr>
      <w:rFonts w:ascii="Gotham Light" w:hAnsi="Gotham Light" w:cs="Arial"/>
      <w:color w:val="7F7F7F" w:themeColor="text1" w:themeTint="80"/>
    </w:rPr>
  </w:style>
  <w:style w:type="table" w:styleId="Tablaconcuadrcula">
    <w:name w:val="Table Grid"/>
    <w:basedOn w:val="Tablanormal"/>
    <w:uiPriority w:val="39"/>
    <w:rsid w:val="00331891"/>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
    <w:name w:val="1 Tit"/>
    <w:basedOn w:val="Prrafodelista"/>
    <w:link w:val="1TitCar"/>
    <w:qFormat/>
    <w:rsid w:val="00331891"/>
    <w:pPr>
      <w:numPr>
        <w:ilvl w:val="1"/>
        <w:numId w:val="5"/>
      </w:numPr>
      <w:jc w:val="both"/>
    </w:pPr>
    <w:rPr>
      <w:rFonts w:ascii="Gotham Medium" w:hAnsi="Gotham Medium"/>
      <w:color w:val="2F5496" w:themeColor="accent1" w:themeShade="BF"/>
    </w:rPr>
  </w:style>
  <w:style w:type="character" w:customStyle="1" w:styleId="1TitCar">
    <w:name w:val="1 Tit Car"/>
    <w:basedOn w:val="PrrafodelistaCar"/>
    <w:link w:val="1Tit"/>
    <w:rsid w:val="00331891"/>
    <w:rPr>
      <w:rFonts w:ascii="Gotham Medium" w:eastAsiaTheme="minorHAnsi" w:hAnsi="Gotham Medium"/>
      <w:color w:val="2F5496" w:themeColor="accent1" w:themeShade="BF"/>
      <w:kern w:val="0"/>
      <w:sz w:val="22"/>
      <w:szCs w:val="22"/>
      <w:lang w:eastAsia="en-US"/>
      <w14:ligatures w14:val="none"/>
    </w:rPr>
  </w:style>
  <w:style w:type="paragraph" w:customStyle="1" w:styleId="TextoBASE">
    <w:name w:val="Texto BASE"/>
    <w:basedOn w:val="Prrafodelista"/>
    <w:link w:val="TextoBASECar"/>
    <w:qFormat/>
    <w:rsid w:val="00331891"/>
    <w:pPr>
      <w:spacing w:after="120"/>
      <w:ind w:left="0"/>
      <w:contextualSpacing w:val="0"/>
      <w:jc w:val="both"/>
    </w:pPr>
    <w:rPr>
      <w:rFonts w:ascii="Gotham Book" w:eastAsia="Times New Roman" w:hAnsi="Gotham Book" w:cs="Times New Roman"/>
      <w:color w:val="404040" w:themeColor="text1" w:themeTint="BF"/>
    </w:rPr>
  </w:style>
  <w:style w:type="character" w:customStyle="1" w:styleId="TextoBASECar">
    <w:name w:val="Texto BASE Car"/>
    <w:basedOn w:val="Fuentedeprrafopredeter"/>
    <w:link w:val="TextoBASE"/>
    <w:locked/>
    <w:rsid w:val="00331891"/>
    <w:rPr>
      <w:rFonts w:ascii="Gotham Book" w:eastAsia="Times New Roman" w:hAnsi="Gotham Book" w:cs="Times New Roman"/>
      <w:color w:val="404040" w:themeColor="text1" w:themeTint="BF"/>
      <w:kern w:val="0"/>
      <w:sz w:val="22"/>
      <w:szCs w:val="22"/>
      <w:lang w:eastAsia="en-US"/>
      <w14:ligatures w14:val="none"/>
    </w:rPr>
  </w:style>
  <w:style w:type="paragraph" w:customStyle="1" w:styleId="VIETA1">
    <w:name w:val="VIÑETA 1"/>
    <w:basedOn w:val="Normal"/>
    <w:link w:val="VIETA1Car"/>
    <w:qFormat/>
    <w:rsid w:val="00331891"/>
    <w:pPr>
      <w:numPr>
        <w:numId w:val="6"/>
      </w:numPr>
      <w:autoSpaceDE w:val="0"/>
      <w:autoSpaceDN w:val="0"/>
      <w:adjustRightInd w:val="0"/>
      <w:spacing w:after="120" w:line="276" w:lineRule="auto"/>
      <w:ind w:left="652" w:hanging="227"/>
      <w:jc w:val="both"/>
    </w:pPr>
    <w:rPr>
      <w:rFonts w:ascii="Gotham Light" w:eastAsia="Times New Roman" w:hAnsi="Gotham Light" w:cs="GuggenheimHTFBook"/>
      <w:color w:val="7F7F7F" w:themeColor="text1" w:themeTint="80"/>
      <w:kern w:val="0"/>
      <w:szCs w:val="22"/>
      <w:lang w:eastAsia="en-US"/>
      <w14:ligatures w14:val="none"/>
    </w:rPr>
  </w:style>
  <w:style w:type="character" w:customStyle="1" w:styleId="VIETA1Car">
    <w:name w:val="VIÑETA 1 Car"/>
    <w:basedOn w:val="Fuentedeprrafopredeter"/>
    <w:link w:val="VIETA1"/>
    <w:locked/>
    <w:rsid w:val="00331891"/>
    <w:rPr>
      <w:rFonts w:ascii="Gotham Light" w:eastAsia="Times New Roman" w:hAnsi="Gotham Light" w:cs="GuggenheimHTFBook"/>
      <w:color w:val="7F7F7F" w:themeColor="text1" w:themeTint="80"/>
      <w:kern w:val="0"/>
      <w:sz w:val="22"/>
      <w:szCs w:val="22"/>
      <w:lang w:eastAsia="en-US"/>
      <w14:ligatures w14:val="none"/>
    </w:rPr>
  </w:style>
  <w:style w:type="paragraph" w:customStyle="1" w:styleId="Tit1">
    <w:name w:val="Tit_1"/>
    <w:basedOn w:val="Prrafodelista"/>
    <w:link w:val="Tit1Car0"/>
    <w:qFormat/>
    <w:rsid w:val="00331891"/>
    <w:pPr>
      <w:numPr>
        <w:numId w:val="7"/>
      </w:numPr>
      <w:pBdr>
        <w:top w:val="single" w:sz="4" w:space="4" w:color="A6A6A6" w:themeColor="background1" w:themeShade="A6"/>
        <w:bottom w:val="single" w:sz="4" w:space="1" w:color="A6A6A6" w:themeColor="background1" w:themeShade="A6"/>
      </w:pBdr>
      <w:spacing w:before="360" w:after="360" w:line="276" w:lineRule="auto"/>
      <w:ind w:left="567" w:hanging="567"/>
      <w:contextualSpacing w:val="0"/>
    </w:pPr>
    <w:rPr>
      <w:rFonts w:ascii="Gotham Medium" w:hAnsi="Gotham Medium"/>
      <w:b/>
      <w:color w:val="96AADC"/>
    </w:rPr>
  </w:style>
  <w:style w:type="character" w:customStyle="1" w:styleId="Tit1Car0">
    <w:name w:val="Tit_1 Car"/>
    <w:basedOn w:val="PrrafodelistaCar"/>
    <w:link w:val="Tit1"/>
    <w:rsid w:val="00331891"/>
    <w:rPr>
      <w:rFonts w:ascii="Gotham Medium" w:eastAsiaTheme="minorHAnsi" w:hAnsi="Gotham Medium"/>
      <w:b/>
      <w:color w:val="96AADC"/>
      <w:kern w:val="0"/>
      <w:sz w:val="22"/>
      <w:szCs w:val="22"/>
      <w:lang w:eastAsia="en-US"/>
      <w14:ligatures w14:val="none"/>
    </w:rPr>
  </w:style>
  <w:style w:type="paragraph" w:styleId="Sinespaciado">
    <w:name w:val="No Spacing"/>
    <w:link w:val="SinespaciadoCar"/>
    <w:uiPriority w:val="1"/>
    <w:qFormat/>
    <w:rsid w:val="00CD04A0"/>
    <w:rPr>
      <w:kern w:val="0"/>
      <w:sz w:val="22"/>
      <w:szCs w:val="22"/>
      <w:lang w:eastAsia="es-ES"/>
      <w14:ligatures w14:val="none"/>
    </w:rPr>
  </w:style>
  <w:style w:type="character" w:customStyle="1" w:styleId="SinespaciadoCar">
    <w:name w:val="Sin espaciado Car"/>
    <w:basedOn w:val="Fuentedeprrafopredeter"/>
    <w:link w:val="Sinespaciado"/>
    <w:uiPriority w:val="1"/>
    <w:rsid w:val="00CD04A0"/>
    <w:rPr>
      <w:kern w:val="0"/>
      <w:sz w:val="22"/>
      <w:szCs w:val="22"/>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1300</Words>
  <Characters>7155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CUSTOMER_A4_MOLGAS _DESIGN (text) copia</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CUSTOMER_A4_MOLGAS _DESIGN (text) copia</dc:title>
  <dc:subject/>
  <dc:creator>Microsoft Office User</dc:creator>
  <cp:keywords/>
  <cp:lastModifiedBy>Lidia Almendariz</cp:lastModifiedBy>
  <cp:revision>2</cp:revision>
  <cp:lastPrinted>2025-03-06T09:17:00Z</cp:lastPrinted>
  <dcterms:created xsi:type="dcterms:W3CDTF">2025-03-06T09:19:00Z</dcterms:created>
  <dcterms:modified xsi:type="dcterms:W3CDTF">2025-03-06T09:19:00Z</dcterms:modified>
</cp:coreProperties>
</file>