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835C" w14:textId="4E5EE82A" w:rsidR="00CD04A0" w:rsidRPr="00CD04A0" w:rsidRDefault="00CD04A0" w:rsidP="00CD04A0">
      <w:pPr>
        <w:pStyle w:val="Tit10"/>
        <w:spacing w:before="120" w:after="120"/>
        <w:ind w:left="0" w:firstLine="0"/>
        <w:jc w:val="left"/>
        <w:rPr>
          <w:rFonts w:ascii="Aptos" w:hAnsi="Aptos"/>
          <w:color w:val="201B52"/>
          <w:sz w:val="32"/>
          <w:szCs w:val="32"/>
          <w:lang w:val="en-US"/>
        </w:rPr>
      </w:pPr>
      <w:r w:rsidRPr="00CD04A0">
        <w:rPr>
          <w:rFonts w:ascii="Aptos" w:hAnsi="Aptos"/>
          <w:color w:val="201B52"/>
          <w:sz w:val="32"/>
          <w:szCs w:val="32"/>
          <w:lang w:val="en-US"/>
        </w:rPr>
        <w:t>PROTOCOL FOR THE PREVENTION OF MONEY LAUNDERING AND TERRORIST FINANCING</w:t>
      </w:r>
    </w:p>
    <w:p w14:paraId="357B519A" w14:textId="77777777" w:rsidR="00CD04A0" w:rsidRPr="00CD04A0" w:rsidRDefault="00CD04A0" w:rsidP="00CD04A0">
      <w:pPr>
        <w:spacing w:before="120" w:after="120" w:line="240" w:lineRule="auto"/>
        <w:jc w:val="both"/>
        <w:rPr>
          <w:rFonts w:ascii="Aptos" w:hAnsi="Aptos"/>
          <w:color w:val="201B52"/>
          <w:lang w:val="en-US"/>
        </w:rPr>
      </w:pPr>
    </w:p>
    <w:p w14:paraId="56F655C3" w14:textId="77777777" w:rsidR="00CD04A0" w:rsidRPr="00CD04A0" w:rsidRDefault="00CD04A0" w:rsidP="00CD04A0">
      <w:pPr>
        <w:spacing w:before="120" w:after="120" w:line="240" w:lineRule="auto"/>
        <w:jc w:val="both"/>
        <w:rPr>
          <w:rFonts w:ascii="Aptos" w:hAnsi="Aptos"/>
          <w:color w:val="201B52"/>
          <w:lang w:val="en-US"/>
        </w:rPr>
      </w:pPr>
    </w:p>
    <w:p w14:paraId="43450B5B"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rPr>
        <w:t>INTRODUCTION</w:t>
      </w:r>
    </w:p>
    <w:p w14:paraId="4AD18304" w14:textId="77777777" w:rsidR="00CD04A0" w:rsidRPr="00CD04A0" w:rsidRDefault="00CD04A0" w:rsidP="00CD04A0">
      <w:pPr>
        <w:spacing w:before="120" w:after="120" w:line="240" w:lineRule="auto"/>
        <w:ind w:left="993" w:hanging="567"/>
        <w:jc w:val="both"/>
        <w:rPr>
          <w:rFonts w:ascii="Aptos" w:hAnsi="Aptos"/>
          <w:color w:val="201B52"/>
        </w:rPr>
      </w:pPr>
    </w:p>
    <w:p w14:paraId="629C0BF0"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rPr>
        <w:t>SCOPE OF APPLICATION</w:t>
      </w:r>
    </w:p>
    <w:p w14:paraId="1782EE13" w14:textId="77777777" w:rsidR="00CD04A0" w:rsidRPr="00CD04A0" w:rsidRDefault="00CD04A0" w:rsidP="00CD04A0">
      <w:pPr>
        <w:pStyle w:val="Prrafodelista"/>
        <w:spacing w:before="120" w:after="120"/>
        <w:jc w:val="both"/>
        <w:rPr>
          <w:rFonts w:ascii="Aptos" w:hAnsi="Aptos"/>
          <w:color w:val="201B52"/>
          <w:sz w:val="24"/>
          <w:szCs w:val="24"/>
        </w:rPr>
      </w:pPr>
    </w:p>
    <w:p w14:paraId="14F41A5C"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rPr>
        <w:t>DEFINITIONS</w:t>
      </w:r>
    </w:p>
    <w:p w14:paraId="73A3EB86" w14:textId="77777777" w:rsidR="00CD04A0" w:rsidRPr="00CD04A0" w:rsidRDefault="00CD04A0" w:rsidP="00CD04A0">
      <w:pPr>
        <w:spacing w:before="120" w:after="120" w:line="240" w:lineRule="auto"/>
        <w:ind w:left="993" w:hanging="567"/>
        <w:jc w:val="both"/>
        <w:rPr>
          <w:rFonts w:ascii="Aptos" w:hAnsi="Aptos"/>
          <w:color w:val="201B52"/>
          <w:sz w:val="24"/>
        </w:rPr>
      </w:pPr>
    </w:p>
    <w:p w14:paraId="728F650B"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lang w:val="en-US"/>
        </w:rPr>
      </w:pPr>
      <w:r w:rsidRPr="00CD04A0">
        <w:rPr>
          <w:rFonts w:ascii="Aptos" w:hAnsi="Aptos"/>
          <w:color w:val="201B52"/>
          <w:sz w:val="24"/>
          <w:szCs w:val="24"/>
          <w:lang w:val="en-US"/>
        </w:rPr>
        <w:t>INITIAL MEASURES FOR THE PREVENTION OF MONEY LAUNDERING AND TERRORIST FINANCING</w:t>
      </w:r>
    </w:p>
    <w:p w14:paraId="02245075" w14:textId="77777777" w:rsidR="00CD04A0" w:rsidRPr="00CD04A0" w:rsidRDefault="00CD04A0" w:rsidP="00CD04A0">
      <w:pPr>
        <w:pStyle w:val="Prrafodelista"/>
        <w:spacing w:before="120" w:after="120"/>
        <w:ind w:left="993" w:hanging="567"/>
        <w:jc w:val="both"/>
        <w:rPr>
          <w:rFonts w:ascii="Aptos" w:hAnsi="Aptos"/>
          <w:color w:val="201B52"/>
          <w:sz w:val="24"/>
          <w:szCs w:val="24"/>
          <w:lang w:val="en-US"/>
        </w:rPr>
      </w:pPr>
    </w:p>
    <w:p w14:paraId="462F5CEA"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rPr>
        <w:t xml:space="preserve">SUSPICIOUS TRANSACTIONS. HOMEWORK </w:t>
      </w:r>
    </w:p>
    <w:p w14:paraId="220C50A2" w14:textId="77777777" w:rsidR="00CD04A0" w:rsidRPr="00CD04A0" w:rsidRDefault="00CD04A0" w:rsidP="00CD04A0">
      <w:pPr>
        <w:pStyle w:val="Prrafodelista"/>
        <w:spacing w:before="120" w:after="120"/>
        <w:rPr>
          <w:rFonts w:ascii="Aptos" w:hAnsi="Aptos"/>
          <w:color w:val="201B52"/>
          <w:sz w:val="24"/>
          <w:szCs w:val="24"/>
        </w:rPr>
      </w:pPr>
    </w:p>
    <w:p w14:paraId="4D7E163E"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rPr>
        <w:t>FORMATION</w:t>
      </w:r>
    </w:p>
    <w:p w14:paraId="7928159F" w14:textId="77777777" w:rsidR="00CD04A0" w:rsidRPr="00CD04A0" w:rsidRDefault="00CD04A0" w:rsidP="00CD04A0">
      <w:pPr>
        <w:pStyle w:val="Prrafodelista"/>
        <w:spacing w:before="120" w:after="120"/>
        <w:rPr>
          <w:rFonts w:ascii="Aptos" w:hAnsi="Aptos"/>
          <w:color w:val="201B52"/>
          <w:sz w:val="24"/>
          <w:szCs w:val="24"/>
        </w:rPr>
      </w:pPr>
    </w:p>
    <w:p w14:paraId="11D27172"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lang w:val="en-US"/>
        </w:rPr>
      </w:pPr>
      <w:r w:rsidRPr="00CD04A0">
        <w:rPr>
          <w:rFonts w:ascii="Aptos" w:hAnsi="Aptos"/>
          <w:color w:val="201B52"/>
          <w:sz w:val="24"/>
          <w:szCs w:val="24"/>
          <w:lang w:val="en-US"/>
        </w:rPr>
        <w:t>INTERNAL INFORMATION SYSTEM AND WHISTLEBLOWING CHANNEL</w:t>
      </w:r>
    </w:p>
    <w:p w14:paraId="5156DF7B" w14:textId="77777777" w:rsidR="00CD04A0" w:rsidRPr="00CD04A0" w:rsidRDefault="00CD04A0" w:rsidP="00CD04A0">
      <w:pPr>
        <w:pStyle w:val="Prrafodelista"/>
        <w:spacing w:before="120" w:after="120"/>
        <w:rPr>
          <w:rFonts w:ascii="Aptos" w:hAnsi="Aptos"/>
          <w:color w:val="201B52"/>
          <w:sz w:val="24"/>
          <w:szCs w:val="24"/>
          <w:lang w:val="en-US"/>
        </w:rPr>
      </w:pPr>
    </w:p>
    <w:p w14:paraId="0CC84CF3"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lang w:val="en-US"/>
        </w:rPr>
      </w:pPr>
      <w:r w:rsidRPr="00CD04A0">
        <w:rPr>
          <w:rFonts w:ascii="Aptos" w:hAnsi="Aptos"/>
          <w:color w:val="201B52"/>
          <w:sz w:val="24"/>
          <w:szCs w:val="24"/>
          <w:lang w:val="en-US"/>
        </w:rPr>
        <w:t>CONSEQUENCES OF NON-COMPLIANCE WITH THE PROTOCOL</w:t>
      </w:r>
    </w:p>
    <w:p w14:paraId="7B3CC2E4" w14:textId="77777777" w:rsidR="00CD04A0" w:rsidRPr="00CD04A0" w:rsidRDefault="00CD04A0" w:rsidP="00CD04A0">
      <w:pPr>
        <w:pStyle w:val="Prrafodelista"/>
        <w:spacing w:before="120" w:after="120"/>
        <w:ind w:left="993" w:hanging="567"/>
        <w:jc w:val="both"/>
        <w:rPr>
          <w:rFonts w:ascii="Aptos" w:hAnsi="Aptos"/>
          <w:color w:val="201B52"/>
          <w:sz w:val="24"/>
          <w:szCs w:val="24"/>
          <w:lang w:val="en-US"/>
        </w:rPr>
      </w:pPr>
    </w:p>
    <w:p w14:paraId="650DA301" w14:textId="77777777" w:rsidR="00CD04A0" w:rsidRPr="00CD04A0" w:rsidRDefault="00CD04A0" w:rsidP="00CD04A0">
      <w:pPr>
        <w:pStyle w:val="Prrafodelista"/>
        <w:numPr>
          <w:ilvl w:val="0"/>
          <w:numId w:val="30"/>
        </w:numPr>
        <w:spacing w:before="120" w:after="120"/>
        <w:ind w:left="993" w:hanging="567"/>
        <w:jc w:val="both"/>
        <w:rPr>
          <w:rFonts w:ascii="Aptos" w:hAnsi="Aptos"/>
          <w:color w:val="201B52"/>
          <w:sz w:val="24"/>
          <w:szCs w:val="24"/>
        </w:rPr>
      </w:pPr>
      <w:r w:rsidRPr="00CD04A0">
        <w:rPr>
          <w:rFonts w:ascii="Aptos" w:hAnsi="Aptos"/>
          <w:color w:val="201B52"/>
          <w:sz w:val="24"/>
          <w:szCs w:val="24"/>
          <w:lang w:val="en-US"/>
        </w:rPr>
        <w:t xml:space="preserve">APPROVAL AND ENTRY INTO FORCE. </w:t>
      </w:r>
      <w:r w:rsidRPr="00CD04A0">
        <w:rPr>
          <w:rFonts w:ascii="Aptos" w:hAnsi="Aptos"/>
          <w:color w:val="201B52"/>
          <w:sz w:val="24"/>
          <w:szCs w:val="24"/>
        </w:rPr>
        <w:t>UPDATE</w:t>
      </w:r>
    </w:p>
    <w:p w14:paraId="57335912" w14:textId="77777777" w:rsidR="00CD04A0" w:rsidRPr="00CD04A0" w:rsidRDefault="00CD04A0" w:rsidP="00CD04A0">
      <w:pPr>
        <w:spacing w:before="120" w:after="120" w:line="240" w:lineRule="auto"/>
        <w:jc w:val="both"/>
        <w:rPr>
          <w:rFonts w:ascii="Aptos" w:hAnsi="Aptos"/>
          <w:color w:val="201B52"/>
          <w:sz w:val="24"/>
        </w:rPr>
      </w:pPr>
    </w:p>
    <w:p w14:paraId="67ECDD1B" w14:textId="77777777" w:rsidR="00CD04A0" w:rsidRPr="00CD04A0" w:rsidRDefault="00CD04A0" w:rsidP="00CD04A0">
      <w:pPr>
        <w:spacing w:before="120" w:after="120" w:line="240" w:lineRule="auto"/>
        <w:rPr>
          <w:rFonts w:ascii="Aptos" w:hAnsi="Aptos"/>
          <w:color w:val="201B52"/>
        </w:rPr>
      </w:pPr>
      <w:r w:rsidRPr="00CD04A0">
        <w:rPr>
          <w:rFonts w:ascii="Aptos" w:hAnsi="Aptos"/>
          <w:color w:val="201B52"/>
        </w:rPr>
        <w:br w:type="page"/>
      </w:r>
    </w:p>
    <w:p w14:paraId="4FE78B44" w14:textId="1C785529" w:rsidR="00CD04A0" w:rsidRPr="00CD04A0" w:rsidRDefault="00CD04A0" w:rsidP="00CD04A0">
      <w:pPr>
        <w:pStyle w:val="Tit10"/>
        <w:numPr>
          <w:ilvl w:val="0"/>
          <w:numId w:val="31"/>
        </w:numPr>
        <w:spacing w:before="120" w:after="120"/>
        <w:rPr>
          <w:rFonts w:ascii="Aptos" w:hAnsi="Aptos"/>
          <w:color w:val="201B52"/>
        </w:rPr>
      </w:pPr>
      <w:r w:rsidRPr="00CD04A0">
        <w:rPr>
          <w:rFonts w:ascii="Aptos" w:hAnsi="Aptos"/>
          <w:color w:val="201B52"/>
        </w:rPr>
        <w:lastRenderedPageBreak/>
        <w:t>INTRODUCTION</w:t>
      </w:r>
    </w:p>
    <w:p w14:paraId="423661DB" w14:textId="5BA66782" w:rsidR="00CD04A0" w:rsidRPr="00CD04A0" w:rsidRDefault="00CD04A0" w:rsidP="00CD04A0">
      <w:pPr>
        <w:spacing w:before="360" w:after="240" w:line="240" w:lineRule="auto"/>
        <w:jc w:val="both"/>
        <w:rPr>
          <w:rFonts w:ascii="Aptos" w:hAnsi="Aptos"/>
          <w:color w:val="201B52"/>
          <w:sz w:val="24"/>
          <w:lang w:val="en-US"/>
        </w:rPr>
      </w:pPr>
      <w:r w:rsidRPr="00CD04A0">
        <w:rPr>
          <w:rFonts w:ascii="Aptos" w:hAnsi="Aptos"/>
          <w:color w:val="201B52"/>
          <w:sz w:val="24"/>
          <w:lang w:val="en-US"/>
        </w:rPr>
        <w:t>We understand MOLGAS ENERGY GROUP to be the set of commercial companies that belong, directly or indirectly, as subsidiaries (100% of its share capital) or investee (at least 50% of its share capital without reaching 100% of its share capital) to its parent trading company, a business group that has interests at an international level and that provides comprehensive solutions that facilitate the adoption of Natural Gas as an economic fuel.  clean and sustainable.</w:t>
      </w:r>
    </w:p>
    <w:p w14:paraId="44DA1D61" w14:textId="4F67C968" w:rsidR="00CD04A0" w:rsidRPr="00CD04A0" w:rsidRDefault="00CD04A0" w:rsidP="00CD04A0">
      <w:pPr>
        <w:spacing w:before="360" w:after="240" w:line="240" w:lineRule="auto"/>
        <w:jc w:val="both"/>
        <w:rPr>
          <w:rFonts w:ascii="Aptos" w:hAnsi="Aptos"/>
          <w:color w:val="201B52"/>
          <w:sz w:val="24"/>
          <w:lang w:val="en-US"/>
        </w:rPr>
      </w:pPr>
      <w:r w:rsidRPr="00CD04A0">
        <w:rPr>
          <w:rFonts w:ascii="Aptos" w:hAnsi="Aptos"/>
          <w:color w:val="201B52"/>
          <w:sz w:val="24"/>
          <w:lang w:val="en-US"/>
        </w:rPr>
        <w:t xml:space="preserve">MOLGAS ENERGY GROUP. has implemented a Comprehensive System for the Prevention and Management of Legal and Criminal Risks (Comprehensive Compliance Model) in it and in all its subsidiaries and investees in Spain, as a result of its unequivocal commitment to </w:t>
      </w:r>
      <w:proofErr w:type="spellStart"/>
      <w:r w:rsidRPr="00CD04A0">
        <w:rPr>
          <w:rFonts w:ascii="Aptos" w:hAnsi="Aptos"/>
          <w:color w:val="201B52"/>
          <w:sz w:val="24"/>
          <w:lang w:val="en-US"/>
        </w:rPr>
        <w:t>i</w:t>
      </w:r>
      <w:proofErr w:type="spellEnd"/>
      <w:r w:rsidRPr="00CD04A0">
        <w:rPr>
          <w:rFonts w:ascii="Aptos" w:hAnsi="Aptos"/>
          <w:color w:val="201B52"/>
          <w:sz w:val="24"/>
          <w:lang w:val="en-US"/>
        </w:rPr>
        <w:t xml:space="preserve">) compliance with all legal, regulatory and normative precepts that affect them in all areas (administrative, civil and criminal),  ii) compliance with its standards of beliefs, values and </w:t>
      </w:r>
      <w:proofErr w:type="spellStart"/>
      <w:r w:rsidRPr="00CD04A0">
        <w:rPr>
          <w:rFonts w:ascii="Aptos" w:hAnsi="Aptos"/>
          <w:color w:val="201B52"/>
          <w:sz w:val="24"/>
          <w:lang w:val="en-US"/>
        </w:rPr>
        <w:t>behaviour</w:t>
      </w:r>
      <w:proofErr w:type="spellEnd"/>
      <w:r w:rsidRPr="00CD04A0">
        <w:rPr>
          <w:rFonts w:ascii="Aptos" w:hAnsi="Aptos"/>
          <w:color w:val="201B52"/>
          <w:sz w:val="24"/>
          <w:lang w:val="en-US"/>
        </w:rPr>
        <w:t xml:space="preserve"> established in its Code of Ethics and iii) zero tolerance for the commission of crimes within the legal entities that make it up.</w:t>
      </w:r>
    </w:p>
    <w:p w14:paraId="3D4D7939" w14:textId="19DDC011" w:rsidR="00CD04A0" w:rsidRPr="00CD04A0" w:rsidRDefault="00CD04A0" w:rsidP="00CD04A0">
      <w:pPr>
        <w:pStyle w:val="Tit10"/>
        <w:spacing w:before="360" w:after="240"/>
        <w:ind w:left="0" w:firstLine="0"/>
        <w:rPr>
          <w:rFonts w:ascii="Aptos" w:hAnsi="Aptos"/>
          <w:b w:val="0"/>
          <w:bCs/>
          <w:color w:val="201B52"/>
          <w:lang w:val="en-US"/>
        </w:rPr>
      </w:pPr>
      <w:r w:rsidRPr="00CD04A0">
        <w:rPr>
          <w:rFonts w:ascii="Aptos" w:hAnsi="Aptos"/>
          <w:b w:val="0"/>
          <w:bCs/>
          <w:color w:val="201B52"/>
          <w:lang w:val="en-US"/>
        </w:rPr>
        <w:t xml:space="preserve">The international expansion carried out and underway requires the imposition of the above commitments on </w:t>
      </w:r>
      <w:proofErr w:type="gramStart"/>
      <w:r w:rsidRPr="00CD04A0">
        <w:rPr>
          <w:rFonts w:ascii="Aptos" w:hAnsi="Aptos"/>
          <w:b w:val="0"/>
          <w:bCs/>
          <w:color w:val="201B52"/>
          <w:lang w:val="en-US"/>
        </w:rPr>
        <w:t>each and every</w:t>
      </w:r>
      <w:proofErr w:type="gramEnd"/>
      <w:r w:rsidRPr="00CD04A0">
        <w:rPr>
          <w:rFonts w:ascii="Aptos" w:hAnsi="Aptos"/>
          <w:b w:val="0"/>
          <w:bCs/>
          <w:color w:val="201B52"/>
          <w:lang w:val="en-US"/>
        </w:rPr>
        <w:t xml:space="preserve"> subsidiary and investee legal entity worldwide, whether incorporated or acquired.</w:t>
      </w:r>
    </w:p>
    <w:p w14:paraId="3B079499" w14:textId="6B1E1DD8" w:rsidR="00CD04A0" w:rsidRPr="00CD04A0" w:rsidRDefault="00CD04A0" w:rsidP="00CD04A0">
      <w:pPr>
        <w:pStyle w:val="Tit10"/>
        <w:spacing w:before="360" w:after="240"/>
        <w:ind w:left="0" w:firstLine="0"/>
        <w:rPr>
          <w:rFonts w:ascii="Aptos" w:hAnsi="Aptos"/>
          <w:b w:val="0"/>
          <w:bCs/>
          <w:color w:val="201B52"/>
          <w:lang w:val="en-US"/>
        </w:rPr>
      </w:pPr>
      <w:r w:rsidRPr="00CD04A0">
        <w:rPr>
          <w:rFonts w:ascii="Aptos" w:hAnsi="Aptos"/>
          <w:b w:val="0"/>
          <w:bCs/>
          <w:color w:val="201B52"/>
          <w:lang w:val="en-US"/>
        </w:rPr>
        <w:t xml:space="preserve">Being aware that the legal systems of each country incorporate different legal, regulatory and normative aspects, MOLGAS ENERGY GROUP has decided to establish common standards in the field of COMPLIANCE in all the commercial companies that make up MOLGAS ENERGY GROUP, with the subsequent objective of implementing and maintaining, in each of them, the Comprehensive Compliance Model that corresponds to each </w:t>
      </w:r>
      <w:proofErr w:type="gramStart"/>
      <w:r w:rsidRPr="00CD04A0">
        <w:rPr>
          <w:rFonts w:ascii="Aptos" w:hAnsi="Aptos"/>
          <w:b w:val="0"/>
          <w:bCs/>
          <w:color w:val="201B52"/>
          <w:lang w:val="en-US"/>
        </w:rPr>
        <w:t>particular legal</w:t>
      </w:r>
      <w:proofErr w:type="gramEnd"/>
      <w:r w:rsidRPr="00CD04A0">
        <w:rPr>
          <w:rFonts w:ascii="Aptos" w:hAnsi="Aptos"/>
          <w:b w:val="0"/>
          <w:bCs/>
          <w:color w:val="201B52"/>
          <w:lang w:val="en-US"/>
        </w:rPr>
        <w:t xml:space="preserve"> system.</w:t>
      </w:r>
    </w:p>
    <w:p w14:paraId="2547AF9D" w14:textId="7D6BE738" w:rsidR="00CD04A0" w:rsidRPr="00CD04A0" w:rsidRDefault="00CD04A0" w:rsidP="00CD04A0">
      <w:pPr>
        <w:pStyle w:val="Tit10"/>
        <w:spacing w:before="360" w:after="240"/>
        <w:ind w:left="0" w:firstLine="0"/>
        <w:rPr>
          <w:rFonts w:ascii="Aptos" w:hAnsi="Aptos"/>
          <w:b w:val="0"/>
          <w:bCs/>
          <w:color w:val="201B52"/>
          <w:lang w:val="en-US"/>
        </w:rPr>
      </w:pPr>
      <w:r w:rsidRPr="00CD04A0">
        <w:rPr>
          <w:rFonts w:ascii="Aptos" w:hAnsi="Aptos"/>
          <w:b w:val="0"/>
          <w:bCs/>
          <w:color w:val="201B52"/>
          <w:lang w:val="en-US"/>
        </w:rPr>
        <w:t>Thus, this reference of common standards in the field of Compliance is the existing COMPLIANCE HANDBOOK, which is mandatory in each of the commercial companies that make it up.</w:t>
      </w:r>
    </w:p>
    <w:p w14:paraId="1CFBCE43" w14:textId="79E47240" w:rsidR="00CD04A0" w:rsidRPr="00CD04A0" w:rsidRDefault="00CD04A0" w:rsidP="00CD04A0">
      <w:pPr>
        <w:spacing w:before="360" w:after="240" w:line="240" w:lineRule="auto"/>
        <w:jc w:val="both"/>
        <w:rPr>
          <w:rFonts w:ascii="Aptos" w:hAnsi="Aptos"/>
          <w:color w:val="201B52"/>
          <w:sz w:val="24"/>
          <w:lang w:val="en-US"/>
        </w:rPr>
      </w:pPr>
      <w:r w:rsidRPr="00CD04A0">
        <w:rPr>
          <w:rFonts w:ascii="Aptos" w:hAnsi="Aptos"/>
          <w:color w:val="201B52"/>
          <w:sz w:val="24"/>
          <w:lang w:val="en-US"/>
        </w:rPr>
        <w:t xml:space="preserve">This PROTOCOL ON MONEY LAUNDERING AND TERRORIST FINANCING develops certain aspects of the MOLGAS ENERGY GROUP's CODE of ETHICS (an element of the </w:t>
      </w:r>
      <w:proofErr w:type="gramStart"/>
      <w:r w:rsidRPr="00CD04A0">
        <w:rPr>
          <w:rFonts w:ascii="Aptos" w:hAnsi="Aptos"/>
          <w:color w:val="201B52"/>
          <w:sz w:val="24"/>
          <w:lang w:val="en-US"/>
        </w:rPr>
        <w:t>aforementioned Compliance</w:t>
      </w:r>
      <w:proofErr w:type="gramEnd"/>
      <w:r w:rsidRPr="00CD04A0">
        <w:rPr>
          <w:rFonts w:ascii="Aptos" w:hAnsi="Aptos"/>
          <w:color w:val="201B52"/>
          <w:sz w:val="24"/>
          <w:lang w:val="en-US"/>
        </w:rPr>
        <w:t xml:space="preserve"> Handbook replicated in the different Comprehensive Systems for the Prevention and Management of Legal and Criminal Risks of each legal entity of the latter), specifically its common rules of conduct in this area.</w:t>
      </w:r>
    </w:p>
    <w:p w14:paraId="0324965E" w14:textId="77777777" w:rsidR="00CD04A0" w:rsidRPr="00CD04A0" w:rsidRDefault="00CD04A0" w:rsidP="00CD04A0">
      <w:pPr>
        <w:pStyle w:val="Tit10"/>
        <w:numPr>
          <w:ilvl w:val="0"/>
          <w:numId w:val="31"/>
        </w:numPr>
        <w:spacing w:before="120" w:after="120"/>
        <w:rPr>
          <w:rFonts w:ascii="Aptos" w:hAnsi="Aptos"/>
          <w:color w:val="201B52"/>
        </w:rPr>
      </w:pPr>
      <w:r w:rsidRPr="00CD04A0">
        <w:rPr>
          <w:rFonts w:ascii="Aptos" w:hAnsi="Aptos"/>
          <w:color w:val="201B52"/>
        </w:rPr>
        <w:lastRenderedPageBreak/>
        <w:t>SCOPE OF APPLICATION</w:t>
      </w:r>
    </w:p>
    <w:p w14:paraId="2DA94634" w14:textId="77777777" w:rsidR="00CD04A0" w:rsidRPr="00CD04A0" w:rsidRDefault="00CD04A0" w:rsidP="00CD04A0">
      <w:pPr>
        <w:spacing w:before="120" w:after="120" w:line="240" w:lineRule="auto"/>
        <w:ind w:left="426" w:hanging="426"/>
        <w:jc w:val="both"/>
        <w:rPr>
          <w:rFonts w:ascii="Aptos" w:hAnsi="Aptos"/>
          <w:b/>
          <w:color w:val="201B52"/>
          <w:sz w:val="16"/>
          <w:szCs w:val="16"/>
        </w:rPr>
      </w:pPr>
    </w:p>
    <w:p w14:paraId="51F6F941"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 xml:space="preserve">This PROTOCOL ON MONEY LAUNDERING AND TERRORIST FINANCING must be observed by the administrators, managers and employees of </w:t>
      </w:r>
      <w:proofErr w:type="gramStart"/>
      <w:r w:rsidRPr="00CD04A0">
        <w:rPr>
          <w:rFonts w:ascii="Aptos" w:hAnsi="Aptos"/>
          <w:color w:val="201B52"/>
          <w:sz w:val="24"/>
          <w:lang w:val="en-US"/>
        </w:rPr>
        <w:t>each and every</w:t>
      </w:r>
      <w:proofErr w:type="gramEnd"/>
      <w:r w:rsidRPr="00CD04A0">
        <w:rPr>
          <w:rFonts w:ascii="Aptos" w:hAnsi="Aptos"/>
          <w:color w:val="201B52"/>
          <w:sz w:val="24"/>
          <w:lang w:val="en-US"/>
        </w:rPr>
        <w:t xml:space="preserve"> one of the commercial entities under the name MOLGAS ENERGY GROUP. </w:t>
      </w:r>
    </w:p>
    <w:p w14:paraId="0AC52495" w14:textId="77777777" w:rsidR="00CD04A0" w:rsidRPr="00CD04A0" w:rsidRDefault="00CD04A0" w:rsidP="00CD04A0">
      <w:pPr>
        <w:spacing w:before="120" w:after="120" w:line="240" w:lineRule="auto"/>
        <w:jc w:val="both"/>
        <w:rPr>
          <w:rFonts w:ascii="Aptos" w:hAnsi="Aptos"/>
          <w:color w:val="201B52"/>
          <w:sz w:val="16"/>
          <w:szCs w:val="16"/>
          <w:lang w:val="en-US"/>
        </w:rPr>
      </w:pPr>
    </w:p>
    <w:p w14:paraId="4819262B"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It also applies to those who act in the name and on behalf of MOLGAS ENERGY GROUP and have commercial relations with its commercial companies.</w:t>
      </w:r>
    </w:p>
    <w:p w14:paraId="07DA28C0" w14:textId="77777777" w:rsidR="00CD04A0" w:rsidRPr="00CD04A0" w:rsidRDefault="00CD04A0" w:rsidP="00CD04A0">
      <w:pPr>
        <w:spacing w:before="120" w:after="120" w:line="240" w:lineRule="auto"/>
        <w:jc w:val="both"/>
        <w:rPr>
          <w:rFonts w:ascii="Aptos" w:hAnsi="Aptos"/>
          <w:color w:val="201B52"/>
          <w:sz w:val="16"/>
          <w:szCs w:val="16"/>
          <w:lang w:val="en-US"/>
        </w:rPr>
      </w:pPr>
    </w:p>
    <w:p w14:paraId="5759FB28" w14:textId="77777777" w:rsidR="00CD04A0" w:rsidRPr="00CD04A0" w:rsidRDefault="00CD04A0" w:rsidP="00CD04A0">
      <w:pPr>
        <w:pStyle w:val="Prrafodelista"/>
        <w:numPr>
          <w:ilvl w:val="0"/>
          <w:numId w:val="31"/>
        </w:numPr>
        <w:spacing w:before="120" w:after="120"/>
        <w:jc w:val="both"/>
        <w:rPr>
          <w:rFonts w:ascii="Aptos" w:hAnsi="Aptos"/>
          <w:b/>
          <w:bCs/>
          <w:color w:val="201B52"/>
          <w:sz w:val="24"/>
          <w:szCs w:val="24"/>
        </w:rPr>
      </w:pPr>
      <w:r w:rsidRPr="00CD04A0">
        <w:rPr>
          <w:rFonts w:ascii="Aptos" w:hAnsi="Aptos"/>
          <w:b/>
          <w:bCs/>
          <w:color w:val="201B52"/>
          <w:sz w:val="24"/>
          <w:szCs w:val="24"/>
        </w:rPr>
        <w:t>DEFINITIONS</w:t>
      </w:r>
    </w:p>
    <w:p w14:paraId="32050A38" w14:textId="77777777" w:rsidR="00CD04A0" w:rsidRPr="00CD04A0" w:rsidRDefault="00CD04A0" w:rsidP="00CD04A0">
      <w:pPr>
        <w:spacing w:before="120" w:after="120" w:line="240" w:lineRule="auto"/>
        <w:jc w:val="both"/>
        <w:rPr>
          <w:rFonts w:ascii="Aptos" w:hAnsi="Aptos"/>
          <w:color w:val="201B52"/>
          <w:sz w:val="20"/>
          <w:szCs w:val="20"/>
        </w:rPr>
      </w:pPr>
    </w:p>
    <w:p w14:paraId="0665D446"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The Community directives in this area are limited to establishing a general framework that must be transposed and supplemented by the Member States, giving rise to significantly more extensive and detailed national rules, which means that they do not establish a comprehensive framework for the prevention of capital banking and the financing of terrorism that is susceptible to be applied by the obliged entities without further specification by each national legislator.</w:t>
      </w:r>
    </w:p>
    <w:p w14:paraId="0B8D3150" w14:textId="77777777" w:rsidR="00CD04A0" w:rsidRPr="00CD04A0" w:rsidRDefault="00CD04A0" w:rsidP="00CD04A0">
      <w:pPr>
        <w:spacing w:before="120" w:after="120" w:line="240" w:lineRule="auto"/>
        <w:jc w:val="both"/>
        <w:rPr>
          <w:rFonts w:ascii="Aptos" w:hAnsi="Aptos"/>
          <w:color w:val="201B52"/>
          <w:sz w:val="16"/>
          <w:szCs w:val="16"/>
          <w:lang w:val="en-US"/>
        </w:rPr>
      </w:pPr>
    </w:p>
    <w:p w14:paraId="42A98029"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These directives, therefore, are minimum standards, which must be strengthened and extended in accordance with the specific risks existing in each country.</w:t>
      </w:r>
    </w:p>
    <w:p w14:paraId="7BA68446" w14:textId="77777777" w:rsidR="00CD04A0" w:rsidRPr="00CD04A0" w:rsidRDefault="00CD04A0" w:rsidP="00CD04A0">
      <w:pPr>
        <w:spacing w:before="120" w:after="120" w:line="240" w:lineRule="auto"/>
        <w:jc w:val="both"/>
        <w:rPr>
          <w:rFonts w:ascii="Aptos" w:hAnsi="Aptos"/>
          <w:color w:val="201B52"/>
          <w:sz w:val="16"/>
          <w:szCs w:val="16"/>
          <w:lang w:val="en-US"/>
        </w:rPr>
      </w:pPr>
    </w:p>
    <w:p w14:paraId="3E2D7A66"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Thus, in this Protocol we set out the basic rules in this area, which may be extended depending on the specific legislation in each country where MOLGAS ENERGY GROUP operates.</w:t>
      </w:r>
    </w:p>
    <w:p w14:paraId="71BD7664" w14:textId="77777777" w:rsidR="00CD04A0" w:rsidRPr="00CD04A0" w:rsidRDefault="00CD04A0" w:rsidP="00CD04A0">
      <w:pPr>
        <w:spacing w:before="120" w:after="120" w:line="240" w:lineRule="auto"/>
        <w:jc w:val="both"/>
        <w:rPr>
          <w:rFonts w:ascii="Aptos" w:hAnsi="Aptos"/>
          <w:color w:val="201B52"/>
          <w:sz w:val="16"/>
          <w:szCs w:val="16"/>
          <w:lang w:val="en-US"/>
        </w:rPr>
      </w:pPr>
    </w:p>
    <w:p w14:paraId="0C73C448"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 xml:space="preserve"> </w:t>
      </w:r>
      <w:r w:rsidRPr="00CD04A0">
        <w:rPr>
          <w:rFonts w:ascii="Aptos" w:hAnsi="Aptos"/>
          <w:b/>
          <w:bCs/>
          <w:color w:val="201B52"/>
          <w:sz w:val="24"/>
          <w:lang w:val="en-US"/>
        </w:rPr>
        <w:t xml:space="preserve">MONEY LAUNDERING </w:t>
      </w:r>
      <w:r w:rsidRPr="00CD04A0">
        <w:rPr>
          <w:rFonts w:ascii="Aptos" w:hAnsi="Aptos"/>
          <w:color w:val="201B52"/>
          <w:sz w:val="24"/>
          <w:lang w:val="en-US"/>
        </w:rPr>
        <w:t>is defined as:</w:t>
      </w:r>
    </w:p>
    <w:p w14:paraId="503DAB7D" w14:textId="77777777" w:rsidR="00CD04A0" w:rsidRPr="00CD04A0" w:rsidRDefault="00CD04A0" w:rsidP="00CD04A0">
      <w:pPr>
        <w:spacing w:before="120" w:after="120" w:line="240" w:lineRule="auto"/>
        <w:jc w:val="both"/>
        <w:rPr>
          <w:rFonts w:ascii="Aptos" w:hAnsi="Aptos"/>
          <w:color w:val="201B52"/>
          <w:sz w:val="16"/>
          <w:szCs w:val="16"/>
          <w:lang w:val="en-US"/>
        </w:rPr>
      </w:pPr>
    </w:p>
    <w:p w14:paraId="68E8B020" w14:textId="77777777" w:rsidR="00CD04A0" w:rsidRPr="00CD04A0" w:rsidRDefault="00CD04A0" w:rsidP="00CD04A0">
      <w:pPr>
        <w:pStyle w:val="Sinespaciado"/>
        <w:numPr>
          <w:ilvl w:val="0"/>
          <w:numId w:val="39"/>
        </w:numPr>
        <w:spacing w:before="120" w:after="120"/>
        <w:jc w:val="both"/>
        <w:rPr>
          <w:rFonts w:ascii="Aptos" w:hAnsi="Aptos" w:cs="Times New Roman"/>
          <w:iCs/>
          <w:color w:val="201B52"/>
          <w:sz w:val="24"/>
          <w:szCs w:val="24"/>
          <w:lang w:val="en-US"/>
        </w:rPr>
      </w:pPr>
      <w:r w:rsidRPr="00CD04A0">
        <w:rPr>
          <w:rFonts w:ascii="Aptos" w:hAnsi="Aptos" w:cs="Times New Roman"/>
          <w:iCs/>
          <w:color w:val="201B52"/>
          <w:sz w:val="24"/>
          <w:szCs w:val="24"/>
          <w:lang w:val="en-US"/>
        </w:rPr>
        <w:t>The conversion or transfer of property, knowing that such property is the proceeds of criminal activity or participation in criminal activity, for the purpose of concealing or concealing the illicit origin of the property or of assisting persons involved in evading the legal consequences of their actions.</w:t>
      </w:r>
    </w:p>
    <w:p w14:paraId="41B9B409" w14:textId="77777777" w:rsidR="00CD04A0" w:rsidRPr="00CD04A0" w:rsidRDefault="00CD04A0" w:rsidP="00CD04A0">
      <w:pPr>
        <w:pStyle w:val="Sinespaciado"/>
        <w:spacing w:before="120" w:after="120"/>
        <w:ind w:left="426"/>
        <w:jc w:val="both"/>
        <w:rPr>
          <w:rFonts w:ascii="Aptos" w:hAnsi="Aptos" w:cs="Times New Roman"/>
          <w:iCs/>
          <w:color w:val="201B52"/>
          <w:sz w:val="8"/>
          <w:szCs w:val="8"/>
          <w:lang w:val="en-US"/>
        </w:rPr>
      </w:pPr>
    </w:p>
    <w:p w14:paraId="0C3C9324" w14:textId="77777777" w:rsidR="00CD04A0" w:rsidRPr="00CD04A0" w:rsidRDefault="00CD04A0" w:rsidP="00CD04A0">
      <w:pPr>
        <w:pStyle w:val="Sinespaciado"/>
        <w:numPr>
          <w:ilvl w:val="0"/>
          <w:numId w:val="39"/>
        </w:numPr>
        <w:spacing w:before="120" w:after="120"/>
        <w:jc w:val="both"/>
        <w:rPr>
          <w:rFonts w:ascii="Aptos" w:hAnsi="Aptos" w:cs="Times New Roman"/>
          <w:iCs/>
          <w:color w:val="201B52"/>
          <w:sz w:val="24"/>
          <w:szCs w:val="24"/>
          <w:lang w:val="en-US"/>
        </w:rPr>
      </w:pPr>
      <w:r w:rsidRPr="00CD04A0">
        <w:rPr>
          <w:rFonts w:ascii="Aptos" w:hAnsi="Aptos" w:cs="Times New Roman"/>
          <w:iCs/>
          <w:color w:val="201B52"/>
          <w:sz w:val="24"/>
          <w:szCs w:val="24"/>
          <w:lang w:val="en-US"/>
        </w:rPr>
        <w:t>The concealment or concealment of the nature, origin, location, disposition, movement or real ownership of property or rights in property, knowing that such property is derived from criminal activity or participation in criminal activity.</w:t>
      </w:r>
    </w:p>
    <w:p w14:paraId="0AE585B4" w14:textId="77777777" w:rsidR="00CD04A0" w:rsidRPr="00CD04A0" w:rsidRDefault="00CD04A0" w:rsidP="00CD04A0">
      <w:pPr>
        <w:pStyle w:val="Sinespaciado"/>
        <w:spacing w:before="120" w:after="120"/>
        <w:ind w:left="426"/>
        <w:jc w:val="both"/>
        <w:rPr>
          <w:rFonts w:ascii="Aptos" w:hAnsi="Aptos" w:cs="Times New Roman"/>
          <w:iCs/>
          <w:color w:val="201B52"/>
          <w:sz w:val="8"/>
          <w:szCs w:val="8"/>
          <w:lang w:val="en-US"/>
        </w:rPr>
      </w:pPr>
    </w:p>
    <w:p w14:paraId="2246F1A8" w14:textId="77777777" w:rsidR="00CD04A0" w:rsidRPr="00CD04A0" w:rsidRDefault="00CD04A0" w:rsidP="00CD04A0">
      <w:pPr>
        <w:pStyle w:val="Sinespaciado"/>
        <w:numPr>
          <w:ilvl w:val="0"/>
          <w:numId w:val="39"/>
        </w:numPr>
        <w:spacing w:before="120" w:after="120"/>
        <w:jc w:val="both"/>
        <w:rPr>
          <w:rFonts w:ascii="Aptos" w:hAnsi="Aptos" w:cs="Times New Roman"/>
          <w:iCs/>
          <w:color w:val="201B52"/>
          <w:sz w:val="24"/>
          <w:szCs w:val="24"/>
          <w:lang w:val="en-US"/>
        </w:rPr>
      </w:pPr>
      <w:r w:rsidRPr="00CD04A0">
        <w:rPr>
          <w:rFonts w:ascii="Aptos" w:hAnsi="Aptos" w:cs="Times New Roman"/>
          <w:iCs/>
          <w:color w:val="201B52"/>
          <w:sz w:val="24"/>
          <w:szCs w:val="24"/>
          <w:lang w:val="en-US"/>
        </w:rPr>
        <w:t>The acquisition, possession or use of property, knowing, at the time of receipt of the same, that it is the proceeds of a criminal activity or participation in a criminal activity.</w:t>
      </w:r>
    </w:p>
    <w:p w14:paraId="16B17467" w14:textId="77777777" w:rsidR="00CD04A0" w:rsidRPr="00CD04A0" w:rsidRDefault="00CD04A0" w:rsidP="00CD04A0">
      <w:pPr>
        <w:pStyle w:val="Sinespaciado"/>
        <w:spacing w:before="120" w:after="120"/>
        <w:ind w:left="426"/>
        <w:jc w:val="both"/>
        <w:rPr>
          <w:rFonts w:ascii="Aptos" w:hAnsi="Aptos" w:cs="Times New Roman"/>
          <w:iCs/>
          <w:color w:val="201B52"/>
          <w:sz w:val="8"/>
          <w:szCs w:val="8"/>
          <w:lang w:val="en-US"/>
        </w:rPr>
      </w:pPr>
    </w:p>
    <w:p w14:paraId="30CB5A00" w14:textId="77777777" w:rsidR="00CD04A0" w:rsidRPr="00CD04A0" w:rsidRDefault="00CD04A0" w:rsidP="00CD04A0">
      <w:pPr>
        <w:pStyle w:val="Sinespaciado"/>
        <w:numPr>
          <w:ilvl w:val="0"/>
          <w:numId w:val="39"/>
        </w:numPr>
        <w:spacing w:before="120" w:after="120"/>
        <w:jc w:val="both"/>
        <w:rPr>
          <w:rFonts w:ascii="Aptos" w:hAnsi="Aptos" w:cs="Times New Roman"/>
          <w:iCs/>
          <w:color w:val="201B52"/>
          <w:sz w:val="24"/>
          <w:szCs w:val="24"/>
          <w:lang w:val="en-US"/>
        </w:rPr>
      </w:pPr>
      <w:r w:rsidRPr="00CD04A0">
        <w:rPr>
          <w:rFonts w:ascii="Aptos" w:hAnsi="Aptos" w:cs="Times New Roman"/>
          <w:iCs/>
          <w:color w:val="201B52"/>
          <w:sz w:val="24"/>
          <w:szCs w:val="24"/>
          <w:lang w:val="en-US"/>
        </w:rPr>
        <w:t>Participation in any of the activities mentioned in the preceding letters, association to commit such acts, attempts to perpetrate them and aiding, instigating or advising someone to carry them out or facilitating their execution.</w:t>
      </w:r>
    </w:p>
    <w:p w14:paraId="04488FE4" w14:textId="77777777" w:rsidR="00CD04A0" w:rsidRPr="00CD04A0" w:rsidRDefault="00CD04A0" w:rsidP="00CD04A0">
      <w:pPr>
        <w:pStyle w:val="Sinespaciado"/>
        <w:spacing w:before="120" w:after="120"/>
        <w:jc w:val="both"/>
        <w:rPr>
          <w:rFonts w:ascii="Aptos" w:hAnsi="Aptos" w:cs="Times New Roman"/>
          <w:bCs/>
          <w:color w:val="201B52"/>
          <w:sz w:val="20"/>
          <w:szCs w:val="20"/>
          <w:lang w:val="en-US"/>
        </w:rPr>
      </w:pPr>
    </w:p>
    <w:p w14:paraId="6EC4C1CB" w14:textId="77777777" w:rsidR="00CD04A0" w:rsidRPr="00CD04A0" w:rsidRDefault="00CD04A0" w:rsidP="00CD04A0">
      <w:pPr>
        <w:pStyle w:val="Sinespaciado"/>
        <w:spacing w:before="120" w:after="120"/>
        <w:jc w:val="both"/>
        <w:rPr>
          <w:rFonts w:ascii="Aptos" w:hAnsi="Aptos" w:cs="Times New Roman"/>
          <w:bCs/>
          <w:color w:val="201B52"/>
          <w:sz w:val="24"/>
          <w:szCs w:val="24"/>
          <w:lang w:val="en-US"/>
        </w:rPr>
      </w:pPr>
      <w:r w:rsidRPr="00CD04A0">
        <w:rPr>
          <w:rFonts w:ascii="Aptos" w:hAnsi="Aptos" w:cs="Times New Roman"/>
          <w:bCs/>
          <w:color w:val="201B52"/>
          <w:sz w:val="24"/>
          <w:szCs w:val="24"/>
          <w:lang w:val="en-US"/>
        </w:rPr>
        <w:t xml:space="preserve">Thus, we can understand Money Laundering as the set of procedures or artifices aimed at concealing the origin of goods or assets derived from the performance of illicit or criminal activities, </w:t>
      </w:r>
      <w:proofErr w:type="gramStart"/>
      <w:r w:rsidRPr="00CD04A0">
        <w:rPr>
          <w:rFonts w:ascii="Aptos" w:hAnsi="Aptos" w:cs="Times New Roman"/>
          <w:bCs/>
          <w:color w:val="201B52"/>
          <w:sz w:val="24"/>
          <w:szCs w:val="24"/>
          <w:lang w:val="en-US"/>
        </w:rPr>
        <w:t>in order to</w:t>
      </w:r>
      <w:proofErr w:type="gramEnd"/>
      <w:r w:rsidRPr="00CD04A0">
        <w:rPr>
          <w:rFonts w:ascii="Aptos" w:hAnsi="Aptos" w:cs="Times New Roman"/>
          <w:bCs/>
          <w:color w:val="201B52"/>
          <w:sz w:val="24"/>
          <w:szCs w:val="24"/>
          <w:lang w:val="en-US"/>
        </w:rPr>
        <w:t xml:space="preserve"> give them the appearance of legitimacy or legality. </w:t>
      </w:r>
    </w:p>
    <w:p w14:paraId="0D4B69C8" w14:textId="77777777" w:rsidR="00CD04A0" w:rsidRPr="00CD04A0" w:rsidRDefault="00CD04A0" w:rsidP="00CD04A0">
      <w:pPr>
        <w:pStyle w:val="Sinespaciado"/>
        <w:spacing w:before="120" w:after="120"/>
        <w:jc w:val="both"/>
        <w:rPr>
          <w:rFonts w:ascii="Aptos" w:hAnsi="Aptos" w:cs="Times New Roman"/>
          <w:bCs/>
          <w:color w:val="201B52"/>
          <w:sz w:val="20"/>
          <w:szCs w:val="20"/>
          <w:lang w:val="en-US"/>
        </w:rPr>
      </w:pPr>
    </w:p>
    <w:p w14:paraId="2125D9D3"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bCs/>
          <w:color w:val="201B52"/>
          <w:sz w:val="24"/>
          <w:szCs w:val="24"/>
          <w:lang w:val="en-US"/>
        </w:rPr>
        <w:t xml:space="preserve">The objective of the measures on the Prevention of Money Laundering and Terrorist Financing (hereinafter AML-CFT) is to </w:t>
      </w:r>
      <w:r w:rsidRPr="00CD04A0">
        <w:rPr>
          <w:rFonts w:ascii="Aptos" w:hAnsi="Aptos" w:cs="Times New Roman"/>
          <w:color w:val="201B52"/>
          <w:sz w:val="24"/>
          <w:szCs w:val="24"/>
          <w:lang w:val="en-US"/>
        </w:rPr>
        <w:t xml:space="preserve">protect the financial system by establishing prevention obligations proportional to the existing risk. This protection, which translates into control measures, varies depending on </w:t>
      </w:r>
      <w:r w:rsidRPr="00CD04A0">
        <w:rPr>
          <w:rFonts w:ascii="Aptos" w:hAnsi="Aptos" w:cs="Times New Roman"/>
          <w:i/>
          <w:color w:val="201B52"/>
          <w:sz w:val="24"/>
          <w:szCs w:val="24"/>
          <w:lang w:val="en-US"/>
        </w:rPr>
        <w:t>(</w:t>
      </w:r>
      <w:proofErr w:type="spellStart"/>
      <w:r w:rsidRPr="00CD04A0">
        <w:rPr>
          <w:rFonts w:ascii="Aptos" w:hAnsi="Aptos" w:cs="Times New Roman"/>
          <w:i/>
          <w:color w:val="201B52"/>
          <w:sz w:val="24"/>
          <w:szCs w:val="24"/>
          <w:lang w:val="en-US"/>
        </w:rPr>
        <w:t>i</w:t>
      </w:r>
      <w:proofErr w:type="spellEnd"/>
      <w:r w:rsidRPr="00CD04A0">
        <w:rPr>
          <w:rFonts w:ascii="Aptos" w:hAnsi="Aptos" w:cs="Times New Roman"/>
          <w:i/>
          <w:color w:val="201B52"/>
          <w:sz w:val="24"/>
          <w:szCs w:val="24"/>
          <w:lang w:val="en-US"/>
        </w:rPr>
        <w:t>)</w:t>
      </w:r>
      <w:r w:rsidRPr="00CD04A0">
        <w:rPr>
          <w:rFonts w:ascii="Aptos" w:hAnsi="Aptos" w:cs="Times New Roman"/>
          <w:color w:val="201B52"/>
          <w:sz w:val="24"/>
          <w:szCs w:val="24"/>
          <w:lang w:val="en-US"/>
        </w:rPr>
        <w:t xml:space="preserve"> the sector of activity, </w:t>
      </w:r>
      <w:r w:rsidRPr="00CD04A0">
        <w:rPr>
          <w:rFonts w:ascii="Aptos" w:hAnsi="Aptos" w:cs="Times New Roman"/>
          <w:i/>
          <w:color w:val="201B52"/>
          <w:sz w:val="24"/>
          <w:szCs w:val="24"/>
          <w:lang w:val="en-US"/>
        </w:rPr>
        <w:t>(ii)</w:t>
      </w:r>
      <w:r w:rsidRPr="00CD04A0">
        <w:rPr>
          <w:rFonts w:ascii="Aptos" w:hAnsi="Aptos" w:cs="Times New Roman"/>
          <w:color w:val="201B52"/>
          <w:sz w:val="24"/>
          <w:szCs w:val="24"/>
          <w:lang w:val="en-US"/>
        </w:rPr>
        <w:t xml:space="preserve"> the countries of origin or destination of the funds </w:t>
      </w:r>
      <w:r w:rsidRPr="00CD04A0">
        <w:rPr>
          <w:rFonts w:ascii="Aptos" w:hAnsi="Aptos" w:cs="Times New Roman"/>
          <w:i/>
          <w:color w:val="201B52"/>
          <w:sz w:val="24"/>
          <w:szCs w:val="24"/>
          <w:lang w:val="en-US"/>
        </w:rPr>
        <w:t>(iii)</w:t>
      </w:r>
      <w:r w:rsidRPr="00CD04A0">
        <w:rPr>
          <w:rFonts w:ascii="Aptos" w:hAnsi="Aptos" w:cs="Times New Roman"/>
          <w:color w:val="201B52"/>
          <w:sz w:val="24"/>
          <w:szCs w:val="24"/>
          <w:lang w:val="en-US"/>
        </w:rPr>
        <w:t xml:space="preserve"> the professional activity of the beneficial owner, among other factors.</w:t>
      </w:r>
    </w:p>
    <w:p w14:paraId="44224806"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7231D5E2"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roofErr w:type="gramStart"/>
      <w:r w:rsidRPr="00CD04A0">
        <w:rPr>
          <w:rFonts w:ascii="Aptos" w:hAnsi="Aptos" w:cs="Times New Roman"/>
          <w:color w:val="201B52"/>
          <w:sz w:val="24"/>
          <w:szCs w:val="24"/>
          <w:lang w:val="en-US"/>
        </w:rPr>
        <w:t>In order to</w:t>
      </w:r>
      <w:proofErr w:type="gramEnd"/>
      <w:r w:rsidRPr="00CD04A0">
        <w:rPr>
          <w:rFonts w:ascii="Aptos" w:hAnsi="Aptos" w:cs="Times New Roman"/>
          <w:color w:val="201B52"/>
          <w:sz w:val="24"/>
          <w:szCs w:val="24"/>
          <w:lang w:val="en-US"/>
        </w:rPr>
        <w:t xml:space="preserve"> comply with the rules on AML-CFT, the rules contained in this protocol must be applied by the Administrative, Economic and Financial Management of the companies of GRUPO MOLGAS ENERGY.</w:t>
      </w:r>
    </w:p>
    <w:p w14:paraId="7CE738C8" w14:textId="77777777" w:rsidR="00CD04A0" w:rsidRPr="00CD04A0" w:rsidRDefault="00CD04A0" w:rsidP="00CD04A0">
      <w:pPr>
        <w:pStyle w:val="Sinespaciado"/>
        <w:spacing w:before="120" w:after="120"/>
        <w:jc w:val="both"/>
        <w:rPr>
          <w:rFonts w:ascii="Aptos" w:hAnsi="Aptos" w:cs="Times New Roman"/>
          <w:b/>
          <w:color w:val="201B52"/>
          <w:sz w:val="16"/>
          <w:szCs w:val="16"/>
          <w:lang w:val="en-US"/>
        </w:rPr>
      </w:pPr>
    </w:p>
    <w:p w14:paraId="4D7A5042" w14:textId="77777777" w:rsidR="00CD04A0" w:rsidRPr="00CD04A0" w:rsidRDefault="00CD04A0" w:rsidP="00CD04A0">
      <w:pPr>
        <w:pStyle w:val="Sinespaciado"/>
        <w:spacing w:before="120" w:after="120"/>
        <w:jc w:val="both"/>
        <w:rPr>
          <w:rFonts w:ascii="Aptos" w:hAnsi="Aptos" w:cs="Times New Roman"/>
          <w:b/>
          <w:color w:val="201B52"/>
          <w:sz w:val="16"/>
          <w:szCs w:val="16"/>
          <w:lang w:val="en-US"/>
        </w:rPr>
      </w:pPr>
    </w:p>
    <w:p w14:paraId="6865DAB3" w14:textId="77777777" w:rsidR="00CD04A0" w:rsidRPr="00CD04A0" w:rsidRDefault="00CD04A0" w:rsidP="00CD04A0">
      <w:pPr>
        <w:pStyle w:val="Sinespaciado"/>
        <w:numPr>
          <w:ilvl w:val="0"/>
          <w:numId w:val="31"/>
        </w:numPr>
        <w:spacing w:before="120" w:after="120"/>
        <w:jc w:val="both"/>
        <w:rPr>
          <w:rFonts w:ascii="Aptos" w:hAnsi="Aptos" w:cs="Times New Roman"/>
          <w:b/>
          <w:color w:val="201B52"/>
          <w:sz w:val="24"/>
          <w:szCs w:val="24"/>
          <w:lang w:val="en-US"/>
        </w:rPr>
      </w:pPr>
      <w:r w:rsidRPr="00CD04A0">
        <w:rPr>
          <w:rFonts w:ascii="Aptos" w:hAnsi="Aptos" w:cs="Times New Roman"/>
          <w:b/>
          <w:color w:val="201B52"/>
          <w:sz w:val="24"/>
          <w:szCs w:val="24"/>
          <w:lang w:val="en-US"/>
        </w:rPr>
        <w:t>INITIAL MEASURES FOR THE PREVENTION OF MONEY LAUNDERING AND TERRORIST FINANCING</w:t>
      </w:r>
    </w:p>
    <w:p w14:paraId="2684065B" w14:textId="77777777" w:rsidR="00CD04A0" w:rsidRPr="00CD04A0" w:rsidRDefault="00CD04A0" w:rsidP="00CD04A0">
      <w:pPr>
        <w:pStyle w:val="Sinespaciado"/>
        <w:spacing w:before="120" w:after="120"/>
        <w:ind w:left="360"/>
        <w:jc w:val="both"/>
        <w:rPr>
          <w:rFonts w:ascii="Aptos" w:hAnsi="Aptos" w:cs="Times New Roman"/>
          <w:b/>
          <w:color w:val="201B52"/>
          <w:sz w:val="20"/>
          <w:szCs w:val="20"/>
          <w:lang w:val="en-US"/>
        </w:rPr>
      </w:pPr>
    </w:p>
    <w:p w14:paraId="31F4982B"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The initial due diligence measures constitute the pillar to guarantee the AML-CFT and preserve the financial system of GRUPO MOLGAS ENERGY. </w:t>
      </w:r>
    </w:p>
    <w:p w14:paraId="0F7E6B90" w14:textId="77777777" w:rsidR="00CD04A0" w:rsidRPr="00CD04A0" w:rsidRDefault="00CD04A0" w:rsidP="00CD04A0">
      <w:pPr>
        <w:pStyle w:val="Sinespaciado"/>
        <w:spacing w:before="120" w:after="120"/>
        <w:jc w:val="both"/>
        <w:rPr>
          <w:rFonts w:ascii="Aptos" w:hAnsi="Aptos" w:cs="Times New Roman"/>
          <w:color w:val="201B52"/>
          <w:sz w:val="16"/>
          <w:szCs w:val="16"/>
          <w:lang w:val="en-US"/>
        </w:rPr>
      </w:pPr>
    </w:p>
    <w:p w14:paraId="7FF120CA"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At the time of initiating the commercial relationship, MOLGAS ENERGY GROUP must obtain certain data on the legal or natural persons to be processed, </w:t>
      </w:r>
      <w:proofErr w:type="gramStart"/>
      <w:r w:rsidRPr="00CD04A0">
        <w:rPr>
          <w:rFonts w:ascii="Aptos" w:hAnsi="Aptos" w:cs="Times New Roman"/>
          <w:color w:val="201B52"/>
          <w:sz w:val="24"/>
          <w:szCs w:val="24"/>
          <w:lang w:val="en-US"/>
        </w:rPr>
        <w:t>in order to</w:t>
      </w:r>
      <w:proofErr w:type="gramEnd"/>
      <w:r w:rsidRPr="00CD04A0">
        <w:rPr>
          <w:rFonts w:ascii="Aptos" w:hAnsi="Aptos" w:cs="Times New Roman"/>
          <w:color w:val="201B52"/>
          <w:sz w:val="24"/>
          <w:szCs w:val="24"/>
          <w:lang w:val="en-US"/>
        </w:rPr>
        <w:t xml:space="preserve"> know their identity prior to initiating commercial relations. To this end, customers and suppliers must prove their identity with one or more of the following documents, which must be in force: </w:t>
      </w:r>
    </w:p>
    <w:p w14:paraId="6083EF66"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40840C39" w14:textId="77777777" w:rsidR="00CD04A0" w:rsidRPr="00CD04A0" w:rsidRDefault="00CD04A0" w:rsidP="00CD04A0">
      <w:pPr>
        <w:pStyle w:val="Sinespaciado"/>
        <w:numPr>
          <w:ilvl w:val="0"/>
          <w:numId w:val="37"/>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Individuals of Spanish nationality: National Identity Document (DNI). </w:t>
      </w:r>
    </w:p>
    <w:p w14:paraId="24D5BD53" w14:textId="77777777" w:rsidR="00CD04A0" w:rsidRPr="00CD04A0" w:rsidRDefault="00CD04A0" w:rsidP="00CD04A0">
      <w:pPr>
        <w:pStyle w:val="Sinespaciado"/>
        <w:spacing w:before="120" w:after="120"/>
        <w:ind w:left="720"/>
        <w:jc w:val="both"/>
        <w:rPr>
          <w:rFonts w:ascii="Aptos" w:hAnsi="Aptos" w:cs="Times New Roman"/>
          <w:color w:val="201B52"/>
          <w:sz w:val="16"/>
          <w:szCs w:val="16"/>
          <w:lang w:val="en-US"/>
        </w:rPr>
      </w:pPr>
    </w:p>
    <w:p w14:paraId="36CCF218" w14:textId="77777777" w:rsidR="00CD04A0" w:rsidRPr="00CD04A0" w:rsidRDefault="00CD04A0" w:rsidP="00CD04A0">
      <w:pPr>
        <w:pStyle w:val="Sinespaciado"/>
        <w:numPr>
          <w:ilvl w:val="0"/>
          <w:numId w:val="37"/>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Natural persons of foreign nationality: Residence Card, Foreigner Identity Card, Passport or, in the case of citizens of the European Union or the European Economic Area, official personal identity document, letter or card issued by the authorities of origin.</w:t>
      </w:r>
    </w:p>
    <w:p w14:paraId="6F704D7F" w14:textId="77777777" w:rsidR="00CD04A0" w:rsidRPr="00CD04A0" w:rsidRDefault="00CD04A0" w:rsidP="00CD04A0">
      <w:pPr>
        <w:pStyle w:val="Prrafodelista"/>
        <w:spacing w:before="120" w:after="120"/>
        <w:rPr>
          <w:rFonts w:ascii="Aptos" w:hAnsi="Aptos" w:cs="Times New Roman"/>
          <w:color w:val="201B52"/>
          <w:sz w:val="16"/>
          <w:szCs w:val="16"/>
          <w:lang w:val="en-US"/>
        </w:rPr>
      </w:pPr>
    </w:p>
    <w:p w14:paraId="4259E59E"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Legal persons: document that reliably states their corporate name, legal form, domicile, corporate purpose and Tax Identification Number (NIF). </w:t>
      </w:r>
    </w:p>
    <w:p w14:paraId="0DCAA835" w14:textId="77777777" w:rsidR="00CD04A0" w:rsidRPr="00CD04A0" w:rsidRDefault="00CD04A0" w:rsidP="00CD04A0">
      <w:pPr>
        <w:pStyle w:val="Sinespaciado"/>
        <w:spacing w:before="120" w:after="120"/>
        <w:jc w:val="both"/>
        <w:rPr>
          <w:rFonts w:ascii="Aptos" w:hAnsi="Aptos" w:cs="Times New Roman"/>
          <w:b/>
          <w:color w:val="201B52"/>
          <w:sz w:val="16"/>
          <w:szCs w:val="16"/>
          <w:lang w:val="en-US"/>
        </w:rPr>
      </w:pPr>
    </w:p>
    <w:p w14:paraId="32A3A982" w14:textId="77777777" w:rsidR="00CD04A0" w:rsidRPr="00CD04A0" w:rsidRDefault="00CD04A0" w:rsidP="00CD04A0">
      <w:pPr>
        <w:pStyle w:val="Sinespaciado"/>
        <w:spacing w:before="120" w:after="120"/>
        <w:jc w:val="both"/>
        <w:rPr>
          <w:rFonts w:ascii="Aptos" w:hAnsi="Aptos" w:cs="Times New Roman"/>
          <w:bCs/>
          <w:color w:val="201B52"/>
          <w:sz w:val="24"/>
          <w:szCs w:val="24"/>
          <w:lang w:val="en-US"/>
        </w:rPr>
      </w:pPr>
      <w:r w:rsidRPr="00CD04A0">
        <w:rPr>
          <w:rFonts w:ascii="Aptos" w:hAnsi="Aptos" w:cs="Times New Roman"/>
          <w:bCs/>
          <w:color w:val="201B52"/>
          <w:sz w:val="24"/>
          <w:szCs w:val="24"/>
          <w:lang w:val="en-US"/>
        </w:rPr>
        <w:t xml:space="preserve">In addition, the content of the </w:t>
      </w:r>
      <w:r w:rsidRPr="00CD04A0">
        <w:rPr>
          <w:rFonts w:ascii="Aptos" w:hAnsi="Aptos" w:cs="Times New Roman"/>
          <w:bCs/>
          <w:i/>
          <w:iCs/>
          <w:color w:val="201B52"/>
          <w:sz w:val="24"/>
          <w:szCs w:val="24"/>
          <w:lang w:val="en-US"/>
        </w:rPr>
        <w:t xml:space="preserve">KYC &amp; KYS Customer and Supplier Verification PROTOCOL will be </w:t>
      </w:r>
      <w:proofErr w:type="gramStart"/>
      <w:r w:rsidRPr="00CD04A0">
        <w:rPr>
          <w:rFonts w:ascii="Aptos" w:hAnsi="Aptos" w:cs="Times New Roman"/>
          <w:bCs/>
          <w:i/>
          <w:iCs/>
          <w:color w:val="201B52"/>
          <w:sz w:val="24"/>
          <w:szCs w:val="24"/>
          <w:lang w:val="en-US"/>
        </w:rPr>
        <w:t>taken into account</w:t>
      </w:r>
      <w:proofErr w:type="gramEnd"/>
      <w:r w:rsidRPr="00CD04A0">
        <w:rPr>
          <w:rFonts w:ascii="Aptos" w:hAnsi="Aptos" w:cs="Times New Roman"/>
          <w:bCs/>
          <w:color w:val="201B52"/>
          <w:sz w:val="24"/>
          <w:szCs w:val="24"/>
          <w:lang w:val="en-US"/>
        </w:rPr>
        <w:t>, which regulates the variables to be taken into account in the identification and characterization, for the purposes of AML-FT, among others, of customers and suppliers.</w:t>
      </w:r>
    </w:p>
    <w:p w14:paraId="4BAAB92B" w14:textId="77777777" w:rsidR="00CD04A0" w:rsidRPr="00CD04A0" w:rsidRDefault="00CD04A0" w:rsidP="00CD04A0">
      <w:pPr>
        <w:pStyle w:val="Sinespaciado"/>
        <w:spacing w:before="120" w:after="120"/>
        <w:jc w:val="both"/>
        <w:rPr>
          <w:rFonts w:ascii="Aptos" w:hAnsi="Aptos" w:cs="Times New Roman"/>
          <w:color w:val="201B52"/>
          <w:sz w:val="16"/>
          <w:szCs w:val="16"/>
          <w:lang w:val="en-US"/>
        </w:rPr>
      </w:pPr>
    </w:p>
    <w:p w14:paraId="6F8E7166"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MOLGAS ENERGY GROUP will keep for a minimum period of ten (10) years all the documentation it obtains and safeguards in compliance with its legal obligations in relation to the AML-CFT.</w:t>
      </w:r>
    </w:p>
    <w:p w14:paraId="46A13A89"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
    <w:p w14:paraId="324F6393"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
    <w:p w14:paraId="2AABD505" w14:textId="77777777" w:rsidR="00CD04A0" w:rsidRPr="00CD04A0" w:rsidRDefault="00CD04A0" w:rsidP="00CD04A0">
      <w:pPr>
        <w:pStyle w:val="Sinespaciado"/>
        <w:numPr>
          <w:ilvl w:val="0"/>
          <w:numId w:val="31"/>
        </w:numPr>
        <w:spacing w:before="120" w:after="120"/>
        <w:jc w:val="both"/>
        <w:rPr>
          <w:rFonts w:ascii="Aptos" w:hAnsi="Aptos" w:cs="Times New Roman"/>
          <w:b/>
          <w:color w:val="201B52"/>
          <w:sz w:val="24"/>
          <w:szCs w:val="24"/>
        </w:rPr>
      </w:pPr>
      <w:r w:rsidRPr="00CD04A0">
        <w:rPr>
          <w:rFonts w:ascii="Aptos" w:hAnsi="Aptos" w:cs="Times New Roman"/>
          <w:b/>
          <w:color w:val="201B52"/>
          <w:sz w:val="24"/>
          <w:szCs w:val="24"/>
        </w:rPr>
        <w:t>SUSPICIOUS TRANSACTIONS. HOMEWORK</w:t>
      </w:r>
    </w:p>
    <w:p w14:paraId="1D17F9C2" w14:textId="77777777" w:rsidR="00CD04A0" w:rsidRPr="00CD04A0" w:rsidRDefault="00CD04A0" w:rsidP="00CD04A0">
      <w:pPr>
        <w:pStyle w:val="Sinespaciado"/>
        <w:spacing w:before="120" w:after="120"/>
        <w:jc w:val="both"/>
        <w:rPr>
          <w:rFonts w:ascii="Aptos" w:hAnsi="Aptos" w:cs="Times New Roman"/>
          <w:b/>
          <w:color w:val="201B52"/>
          <w:sz w:val="16"/>
          <w:szCs w:val="16"/>
        </w:rPr>
      </w:pPr>
    </w:p>
    <w:p w14:paraId="3BD55241" w14:textId="77777777" w:rsidR="00CD04A0" w:rsidRPr="00CD04A0" w:rsidRDefault="00CD04A0" w:rsidP="00CD04A0">
      <w:pPr>
        <w:pStyle w:val="Sinespaciado"/>
        <w:spacing w:before="120" w:after="120"/>
        <w:jc w:val="both"/>
        <w:rPr>
          <w:rFonts w:ascii="Aptos" w:hAnsi="Aptos" w:cs="Times New Roman"/>
          <w:b/>
          <w:color w:val="201B52"/>
          <w:sz w:val="24"/>
          <w:szCs w:val="24"/>
        </w:rPr>
      </w:pPr>
      <w:proofErr w:type="spellStart"/>
      <w:r w:rsidRPr="00CD04A0">
        <w:rPr>
          <w:rFonts w:ascii="Aptos" w:hAnsi="Aptos" w:cs="Times New Roman"/>
          <w:b/>
          <w:color w:val="201B52"/>
          <w:sz w:val="24"/>
          <w:szCs w:val="24"/>
        </w:rPr>
        <w:t>Duty</w:t>
      </w:r>
      <w:proofErr w:type="spellEnd"/>
      <w:r w:rsidRPr="00CD04A0">
        <w:rPr>
          <w:rFonts w:ascii="Aptos" w:hAnsi="Aptos" w:cs="Times New Roman"/>
          <w:b/>
          <w:color w:val="201B52"/>
          <w:sz w:val="24"/>
          <w:szCs w:val="24"/>
        </w:rPr>
        <w:t xml:space="preserve"> </w:t>
      </w:r>
      <w:proofErr w:type="spellStart"/>
      <w:r w:rsidRPr="00CD04A0">
        <w:rPr>
          <w:rFonts w:ascii="Aptos" w:hAnsi="Aptos" w:cs="Times New Roman"/>
          <w:b/>
          <w:color w:val="201B52"/>
          <w:sz w:val="24"/>
          <w:szCs w:val="24"/>
        </w:rPr>
        <w:t>of</w:t>
      </w:r>
      <w:proofErr w:type="spellEnd"/>
      <w:r w:rsidRPr="00CD04A0">
        <w:rPr>
          <w:rFonts w:ascii="Aptos" w:hAnsi="Aptos" w:cs="Times New Roman"/>
          <w:b/>
          <w:color w:val="201B52"/>
          <w:sz w:val="24"/>
          <w:szCs w:val="24"/>
        </w:rPr>
        <w:t xml:space="preserve"> </w:t>
      </w:r>
      <w:proofErr w:type="spellStart"/>
      <w:r w:rsidRPr="00CD04A0">
        <w:rPr>
          <w:rFonts w:ascii="Aptos" w:hAnsi="Aptos" w:cs="Times New Roman"/>
          <w:b/>
          <w:color w:val="201B52"/>
          <w:sz w:val="24"/>
          <w:szCs w:val="24"/>
        </w:rPr>
        <w:t>communication</w:t>
      </w:r>
      <w:proofErr w:type="spellEnd"/>
    </w:p>
    <w:p w14:paraId="01C16C19" w14:textId="77777777" w:rsidR="00CD04A0" w:rsidRPr="00CD04A0" w:rsidRDefault="00CD04A0" w:rsidP="00CD04A0">
      <w:pPr>
        <w:pStyle w:val="Sinespaciado"/>
        <w:spacing w:before="120" w:after="120"/>
        <w:jc w:val="both"/>
        <w:rPr>
          <w:rFonts w:ascii="Aptos" w:hAnsi="Aptos" w:cs="Times New Roman"/>
          <w:b/>
          <w:color w:val="201B52"/>
          <w:sz w:val="16"/>
          <w:szCs w:val="16"/>
        </w:rPr>
      </w:pPr>
    </w:p>
    <w:p w14:paraId="745C9E72"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It establishes the obligation to notify the Administrative Body in matters of AML-CFT that corresponds in each country to any fact or operation, even a mere attempt, in respect of which there are indications or certainty that it is related to money laundering or the financing of terrorism, regardless of its amount. </w:t>
      </w:r>
    </w:p>
    <w:p w14:paraId="2037716E"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0A0756AA"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roofErr w:type="gramStart"/>
      <w:r w:rsidRPr="00CD04A0">
        <w:rPr>
          <w:rFonts w:ascii="Aptos" w:hAnsi="Aptos" w:cs="Times New Roman"/>
          <w:color w:val="201B52"/>
          <w:sz w:val="24"/>
          <w:szCs w:val="24"/>
          <w:lang w:val="en-US"/>
        </w:rPr>
        <w:t>In particular, those</w:t>
      </w:r>
      <w:proofErr w:type="gramEnd"/>
      <w:r w:rsidRPr="00CD04A0">
        <w:rPr>
          <w:rFonts w:ascii="Aptos" w:hAnsi="Aptos" w:cs="Times New Roman"/>
          <w:color w:val="201B52"/>
          <w:sz w:val="24"/>
          <w:szCs w:val="24"/>
          <w:lang w:val="en-US"/>
        </w:rPr>
        <w:t xml:space="preserve"> operations that show an ostensible lack of correspondence with the nature, volume of activity or operational history of customers and suppliers will be reported, provided that there is no economic, professional or business justification for carrying out the operations. </w:t>
      </w:r>
    </w:p>
    <w:p w14:paraId="56947918"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18F6768C"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lastRenderedPageBreak/>
        <w:t>Among others, the following transactions will be considered suspicious:</w:t>
      </w:r>
    </w:p>
    <w:p w14:paraId="422E90C2"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0F742949" w14:textId="77777777" w:rsidR="00CD04A0" w:rsidRPr="00CD04A0" w:rsidRDefault="00CD04A0" w:rsidP="00CD04A0">
      <w:pPr>
        <w:pStyle w:val="Sinespaciado"/>
        <w:numPr>
          <w:ilvl w:val="0"/>
          <w:numId w:val="38"/>
        </w:numPr>
        <w:spacing w:before="120" w:after="120"/>
        <w:ind w:left="714" w:hanging="357"/>
        <w:jc w:val="both"/>
        <w:rPr>
          <w:rFonts w:ascii="Aptos" w:hAnsi="Aptos" w:cs="Times New Roman"/>
          <w:color w:val="201B52"/>
          <w:sz w:val="24"/>
          <w:szCs w:val="24"/>
          <w:lang w:val="en-US"/>
        </w:rPr>
      </w:pPr>
      <w:r w:rsidRPr="00CD04A0">
        <w:rPr>
          <w:rFonts w:ascii="Aptos" w:hAnsi="Aptos" w:cs="Times New Roman"/>
          <w:color w:val="201B52"/>
          <w:sz w:val="24"/>
          <w:szCs w:val="24"/>
          <w:lang w:val="en-US"/>
        </w:rPr>
        <w:t>Those in which the contracting party does not act in its own name and does not identify the ultimate beneficiary.</w:t>
      </w:r>
    </w:p>
    <w:p w14:paraId="7660A1F2" w14:textId="77777777" w:rsidR="00CD04A0" w:rsidRPr="00CD04A0" w:rsidRDefault="00CD04A0" w:rsidP="00CD04A0">
      <w:pPr>
        <w:pStyle w:val="Sinespaciado"/>
        <w:spacing w:before="120" w:after="120"/>
        <w:ind w:left="714"/>
        <w:jc w:val="both"/>
        <w:rPr>
          <w:rFonts w:ascii="Aptos" w:hAnsi="Aptos" w:cs="Times New Roman"/>
          <w:color w:val="201B52"/>
          <w:sz w:val="20"/>
          <w:szCs w:val="20"/>
          <w:lang w:val="en-US"/>
        </w:rPr>
      </w:pPr>
    </w:p>
    <w:p w14:paraId="7431A53D" w14:textId="77777777" w:rsidR="00CD04A0" w:rsidRPr="00CD04A0" w:rsidRDefault="00CD04A0" w:rsidP="00CD04A0">
      <w:pPr>
        <w:pStyle w:val="Sinespaciado"/>
        <w:numPr>
          <w:ilvl w:val="0"/>
          <w:numId w:val="38"/>
        </w:numPr>
        <w:spacing w:before="120" w:after="120"/>
        <w:ind w:left="714" w:hanging="357"/>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Those in which the contracting party is based in tax </w:t>
      </w:r>
      <w:proofErr w:type="gramStart"/>
      <w:r w:rsidRPr="00CD04A0">
        <w:rPr>
          <w:rFonts w:ascii="Aptos" w:hAnsi="Aptos" w:cs="Times New Roman"/>
          <w:color w:val="201B52"/>
          <w:sz w:val="24"/>
          <w:szCs w:val="24"/>
          <w:lang w:val="en-US"/>
        </w:rPr>
        <w:t>havens</w:t>
      </w:r>
      <w:proofErr w:type="gramEnd"/>
      <w:r w:rsidRPr="00CD04A0">
        <w:rPr>
          <w:rFonts w:ascii="Aptos" w:hAnsi="Aptos" w:cs="Times New Roman"/>
          <w:color w:val="201B52"/>
          <w:sz w:val="24"/>
          <w:szCs w:val="24"/>
          <w:lang w:val="en-US"/>
        </w:rPr>
        <w:t xml:space="preserve"> or the operation receives or transfers funds to a current account of a financial institution located in a tax haven.</w:t>
      </w:r>
    </w:p>
    <w:p w14:paraId="2F9D1DC1" w14:textId="77777777" w:rsidR="00CD04A0" w:rsidRPr="00CD04A0" w:rsidRDefault="00CD04A0" w:rsidP="00CD04A0">
      <w:pPr>
        <w:pStyle w:val="Prrafodelista"/>
        <w:spacing w:before="120" w:after="120"/>
        <w:rPr>
          <w:rFonts w:ascii="Aptos" w:hAnsi="Aptos" w:cs="Times New Roman"/>
          <w:strike/>
          <w:color w:val="201B52"/>
          <w:sz w:val="20"/>
          <w:szCs w:val="20"/>
          <w:lang w:val="en-US"/>
        </w:rPr>
      </w:pPr>
    </w:p>
    <w:p w14:paraId="398B540C" w14:textId="77777777" w:rsidR="00CD04A0" w:rsidRPr="00CD04A0" w:rsidRDefault="00CD04A0" w:rsidP="00CD04A0">
      <w:pPr>
        <w:pStyle w:val="Sinespaciado"/>
        <w:numPr>
          <w:ilvl w:val="0"/>
          <w:numId w:val="38"/>
        </w:numPr>
        <w:spacing w:before="120" w:after="120"/>
        <w:ind w:left="714" w:hanging="357"/>
        <w:jc w:val="both"/>
        <w:rPr>
          <w:rFonts w:ascii="Aptos" w:hAnsi="Aptos" w:cs="Times New Roman"/>
          <w:color w:val="201B52"/>
          <w:sz w:val="24"/>
          <w:szCs w:val="24"/>
          <w:lang w:val="en-US"/>
        </w:rPr>
      </w:pPr>
      <w:r w:rsidRPr="00CD04A0">
        <w:rPr>
          <w:rFonts w:ascii="Aptos" w:hAnsi="Aptos" w:cs="Times New Roman"/>
          <w:color w:val="201B52"/>
          <w:sz w:val="24"/>
          <w:szCs w:val="24"/>
          <w:lang w:val="en-US"/>
        </w:rPr>
        <w:t>Transactions without contractual support or orders with non-usual customers or suppliers.</w:t>
      </w:r>
    </w:p>
    <w:p w14:paraId="31242F85" w14:textId="77777777" w:rsidR="00CD04A0" w:rsidRPr="00CD04A0" w:rsidRDefault="00CD04A0" w:rsidP="00CD04A0">
      <w:pPr>
        <w:pStyle w:val="Sinespaciado"/>
        <w:spacing w:before="120" w:after="120"/>
        <w:ind w:left="714"/>
        <w:jc w:val="both"/>
        <w:rPr>
          <w:rFonts w:ascii="Aptos" w:hAnsi="Aptos" w:cs="Times New Roman"/>
          <w:color w:val="201B52"/>
          <w:sz w:val="20"/>
          <w:szCs w:val="20"/>
          <w:lang w:val="en-US"/>
        </w:rPr>
      </w:pPr>
    </w:p>
    <w:p w14:paraId="543FCF04" w14:textId="77777777" w:rsidR="00CD04A0" w:rsidRPr="00CD04A0" w:rsidRDefault="00CD04A0" w:rsidP="00CD04A0">
      <w:pPr>
        <w:pStyle w:val="Sinespaciado"/>
        <w:numPr>
          <w:ilvl w:val="0"/>
          <w:numId w:val="38"/>
        </w:numPr>
        <w:spacing w:before="120" w:after="120"/>
        <w:ind w:left="714" w:hanging="357"/>
        <w:jc w:val="both"/>
        <w:rPr>
          <w:rFonts w:ascii="Aptos" w:hAnsi="Aptos" w:cs="Times New Roman"/>
          <w:color w:val="201B52"/>
          <w:sz w:val="24"/>
          <w:szCs w:val="24"/>
          <w:lang w:val="en-US"/>
        </w:rPr>
      </w:pPr>
      <w:r w:rsidRPr="00CD04A0">
        <w:rPr>
          <w:rFonts w:ascii="Aptos" w:hAnsi="Aptos" w:cs="Times New Roman"/>
          <w:color w:val="201B52"/>
          <w:sz w:val="24"/>
          <w:szCs w:val="24"/>
          <w:lang w:val="en-US"/>
        </w:rPr>
        <w:t>Transactions that do not correspond to the normal activity of the contracting party.</w:t>
      </w:r>
    </w:p>
    <w:p w14:paraId="2EF5B428" w14:textId="77777777" w:rsidR="00CD04A0" w:rsidRPr="00CD04A0" w:rsidRDefault="00CD04A0" w:rsidP="00CD04A0">
      <w:pPr>
        <w:pStyle w:val="Prrafodelista"/>
        <w:spacing w:before="120" w:after="120"/>
        <w:rPr>
          <w:rFonts w:ascii="Aptos" w:hAnsi="Aptos" w:cs="Times New Roman"/>
          <w:color w:val="201B52"/>
          <w:sz w:val="20"/>
          <w:szCs w:val="20"/>
          <w:lang w:val="en-US"/>
        </w:rPr>
      </w:pPr>
    </w:p>
    <w:p w14:paraId="230D24FF" w14:textId="77777777" w:rsidR="00CD04A0" w:rsidRPr="00CD04A0" w:rsidRDefault="00CD04A0" w:rsidP="00CD04A0">
      <w:pPr>
        <w:pStyle w:val="Sinespaciado"/>
        <w:spacing w:before="120" w:after="120"/>
        <w:jc w:val="both"/>
        <w:rPr>
          <w:rFonts w:ascii="Aptos" w:hAnsi="Aptos" w:cs="Times New Roman"/>
          <w:iCs/>
          <w:color w:val="201B52"/>
          <w:sz w:val="24"/>
          <w:szCs w:val="24"/>
          <w:lang w:val="en-US"/>
        </w:rPr>
      </w:pPr>
      <w:proofErr w:type="gramStart"/>
      <w:r w:rsidRPr="00CD04A0">
        <w:rPr>
          <w:rFonts w:ascii="Aptos" w:hAnsi="Aptos" w:cs="Times New Roman"/>
          <w:color w:val="201B52"/>
          <w:sz w:val="24"/>
          <w:szCs w:val="24"/>
          <w:lang w:val="en-US"/>
        </w:rPr>
        <w:t>In the event that</w:t>
      </w:r>
      <w:proofErr w:type="gramEnd"/>
      <w:r w:rsidRPr="00CD04A0">
        <w:rPr>
          <w:rFonts w:ascii="Aptos" w:hAnsi="Aptos" w:cs="Times New Roman"/>
          <w:color w:val="201B52"/>
          <w:sz w:val="24"/>
          <w:szCs w:val="24"/>
          <w:lang w:val="en-US"/>
        </w:rPr>
        <w:t xml:space="preserve"> there is suspicion or certainty that certain operations could be related to Money Laundering and Terrorist Financing, this fact must be brought to the attention of the GLOBAL COMPLIANCE UNIT of MOLGAS ENERGY GROUP. </w:t>
      </w:r>
    </w:p>
    <w:p w14:paraId="4A510288"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
    <w:p w14:paraId="20DB0894"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If, finally, there are reasonable grounds to believe that the commercial transaction could be related to Money Laundering, the Administrative Body competent in the matter in each country will be informed.</w:t>
      </w:r>
    </w:p>
    <w:p w14:paraId="0DE4E232"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20C65622"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The following key information must be included in such communication: </w:t>
      </w:r>
    </w:p>
    <w:p w14:paraId="73E31224"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693BED55"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List and identification of the natural or legal persons participating in the operation and concept of their participation in it.</w:t>
      </w:r>
    </w:p>
    <w:p w14:paraId="3B0CB244" w14:textId="77777777" w:rsidR="00CD04A0" w:rsidRPr="00CD04A0" w:rsidRDefault="00CD04A0" w:rsidP="00CD04A0">
      <w:pPr>
        <w:pStyle w:val="Sinespaciado"/>
        <w:spacing w:before="120" w:after="120"/>
        <w:ind w:left="720"/>
        <w:jc w:val="both"/>
        <w:rPr>
          <w:rFonts w:ascii="Aptos" w:hAnsi="Aptos" w:cs="Times New Roman"/>
          <w:color w:val="201B52"/>
          <w:sz w:val="12"/>
          <w:szCs w:val="12"/>
          <w:lang w:val="en-US"/>
        </w:rPr>
      </w:pPr>
    </w:p>
    <w:p w14:paraId="711FB31E"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Known activity of the natural or legal persons participating in the operation and correspondence between the activity and the operation.</w:t>
      </w:r>
    </w:p>
    <w:p w14:paraId="68276C9F" w14:textId="77777777" w:rsidR="00CD04A0" w:rsidRPr="00CD04A0" w:rsidRDefault="00CD04A0" w:rsidP="00CD04A0">
      <w:pPr>
        <w:pStyle w:val="Prrafodelista"/>
        <w:spacing w:before="120" w:after="120"/>
        <w:rPr>
          <w:rFonts w:ascii="Aptos" w:hAnsi="Aptos" w:cs="Times New Roman"/>
          <w:color w:val="201B52"/>
          <w:sz w:val="12"/>
          <w:szCs w:val="12"/>
          <w:lang w:val="en-US"/>
        </w:rPr>
      </w:pPr>
    </w:p>
    <w:p w14:paraId="4B7F112A"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List of related-party transactions and dates to which they refer, with an indication of their nature, currency in which they are carried out, amount, place or places of execution, purpose and payment or collection instruments used.</w:t>
      </w:r>
    </w:p>
    <w:p w14:paraId="64C24655" w14:textId="77777777" w:rsidR="00CD04A0" w:rsidRPr="00CD04A0" w:rsidRDefault="00CD04A0" w:rsidP="00CD04A0">
      <w:pPr>
        <w:pStyle w:val="Sinespaciado"/>
        <w:spacing w:before="120" w:after="120"/>
        <w:ind w:left="720"/>
        <w:jc w:val="both"/>
        <w:rPr>
          <w:rFonts w:ascii="Aptos" w:hAnsi="Aptos" w:cs="Times New Roman"/>
          <w:color w:val="201B52"/>
          <w:sz w:val="12"/>
          <w:szCs w:val="12"/>
          <w:lang w:val="en-US"/>
        </w:rPr>
      </w:pPr>
    </w:p>
    <w:p w14:paraId="0C110F10"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Steps taken by the reporting obligated entity to investigate the reported transaction.</w:t>
      </w:r>
    </w:p>
    <w:p w14:paraId="057B86AC" w14:textId="77777777" w:rsidR="00CD04A0" w:rsidRPr="00CD04A0" w:rsidRDefault="00CD04A0" w:rsidP="00CD04A0">
      <w:pPr>
        <w:pStyle w:val="Sinespaciado"/>
        <w:spacing w:before="120" w:after="120"/>
        <w:ind w:left="720"/>
        <w:jc w:val="both"/>
        <w:rPr>
          <w:rFonts w:ascii="Aptos" w:hAnsi="Aptos" w:cs="Times New Roman"/>
          <w:color w:val="201B52"/>
          <w:sz w:val="12"/>
          <w:szCs w:val="12"/>
          <w:lang w:val="en-US"/>
        </w:rPr>
      </w:pPr>
    </w:p>
    <w:p w14:paraId="6EEA2E40"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Statement of the circumstances of all kinds from which the indication or certainty of a relationship with money laundering or the financing of terrorism can be inferred or that show the lack of economic, professional or business justification for carrying out the operation.</w:t>
      </w:r>
    </w:p>
    <w:p w14:paraId="28FD4F2D" w14:textId="77777777" w:rsidR="00CD04A0" w:rsidRPr="00CD04A0" w:rsidRDefault="00CD04A0" w:rsidP="00CD04A0">
      <w:pPr>
        <w:pStyle w:val="Sinespaciado"/>
        <w:spacing w:before="120" w:after="120"/>
        <w:ind w:left="720"/>
        <w:jc w:val="both"/>
        <w:rPr>
          <w:rFonts w:ascii="Aptos" w:hAnsi="Aptos" w:cs="Times New Roman"/>
          <w:color w:val="201B52"/>
          <w:sz w:val="12"/>
          <w:szCs w:val="12"/>
          <w:lang w:val="en-US"/>
        </w:rPr>
      </w:pPr>
    </w:p>
    <w:p w14:paraId="18D349D7" w14:textId="77777777" w:rsidR="00CD04A0" w:rsidRPr="00CD04A0" w:rsidRDefault="00CD04A0" w:rsidP="00CD04A0">
      <w:pPr>
        <w:pStyle w:val="Sinespaciado"/>
        <w:numPr>
          <w:ilvl w:val="0"/>
          <w:numId w:val="36"/>
        </w:numPr>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Any other data relevant to the prevention of money laundering or terrorist financing.</w:t>
      </w:r>
    </w:p>
    <w:p w14:paraId="7CC4846F"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1A199388"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It establishes the duty to refrain from carrying out any operation in respect of which there are indications or certainty that it is related to the laundering of money derived from criminal activities, without having previously communicated it to the competent administrative body in each country. </w:t>
      </w:r>
    </w:p>
    <w:p w14:paraId="623D8FF6"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6EC8BC1D" w14:textId="77777777" w:rsidR="00CD04A0" w:rsidRPr="00CD04A0" w:rsidRDefault="00CD04A0" w:rsidP="00CD04A0">
      <w:pPr>
        <w:pStyle w:val="Sinespaciado"/>
        <w:spacing w:before="120" w:after="120"/>
        <w:jc w:val="both"/>
        <w:rPr>
          <w:rFonts w:ascii="Aptos" w:hAnsi="Aptos" w:cs="Times New Roman"/>
          <w:b/>
          <w:color w:val="201B52"/>
          <w:sz w:val="24"/>
          <w:szCs w:val="24"/>
          <w:lang w:val="en-US"/>
        </w:rPr>
      </w:pPr>
      <w:r w:rsidRPr="00CD04A0">
        <w:rPr>
          <w:rFonts w:ascii="Aptos" w:hAnsi="Aptos" w:cs="Times New Roman"/>
          <w:b/>
          <w:color w:val="201B52"/>
          <w:sz w:val="24"/>
          <w:szCs w:val="24"/>
          <w:lang w:val="en-US"/>
        </w:rPr>
        <w:t>Duty of collaboration</w:t>
      </w:r>
    </w:p>
    <w:p w14:paraId="25E58605"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
    <w:p w14:paraId="71532D6E"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MOLGAS ENERGY GROUP will </w:t>
      </w:r>
      <w:proofErr w:type="gramStart"/>
      <w:r w:rsidRPr="00CD04A0">
        <w:rPr>
          <w:rFonts w:ascii="Aptos" w:hAnsi="Aptos" w:cs="Times New Roman"/>
          <w:color w:val="201B52"/>
          <w:sz w:val="24"/>
          <w:szCs w:val="24"/>
          <w:lang w:val="en-US"/>
        </w:rPr>
        <w:t>collaborate at all times</w:t>
      </w:r>
      <w:proofErr w:type="gramEnd"/>
      <w:r w:rsidRPr="00CD04A0">
        <w:rPr>
          <w:rFonts w:ascii="Aptos" w:hAnsi="Aptos" w:cs="Times New Roman"/>
          <w:color w:val="201B52"/>
          <w:sz w:val="24"/>
          <w:szCs w:val="24"/>
          <w:lang w:val="en-US"/>
        </w:rPr>
        <w:t xml:space="preserve"> with the Administrative Body competent in the matter in each country, attending to any requirements or requests made by said Body. </w:t>
      </w:r>
    </w:p>
    <w:p w14:paraId="1F02B6F8"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4632120C"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b/>
          <w:color w:val="201B52"/>
          <w:sz w:val="24"/>
          <w:szCs w:val="24"/>
          <w:lang w:val="en-US"/>
        </w:rPr>
        <w:t xml:space="preserve">Duty of confidentiality and prohibition of disclosure </w:t>
      </w:r>
    </w:p>
    <w:p w14:paraId="09EB3AEB" w14:textId="77777777" w:rsidR="00CD04A0" w:rsidRPr="00CD04A0" w:rsidRDefault="00CD04A0" w:rsidP="00CD04A0">
      <w:pPr>
        <w:pStyle w:val="Sinespaciado"/>
        <w:spacing w:before="120" w:after="120"/>
        <w:jc w:val="both"/>
        <w:rPr>
          <w:rFonts w:ascii="Aptos" w:hAnsi="Aptos" w:cs="Times New Roman"/>
          <w:color w:val="201B52"/>
          <w:sz w:val="20"/>
          <w:szCs w:val="20"/>
          <w:lang w:val="en-US"/>
        </w:rPr>
      </w:pPr>
    </w:p>
    <w:p w14:paraId="203FF3B5"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r w:rsidRPr="00CD04A0">
        <w:rPr>
          <w:rFonts w:ascii="Aptos" w:hAnsi="Aptos" w:cs="Times New Roman"/>
          <w:color w:val="201B52"/>
          <w:sz w:val="24"/>
          <w:szCs w:val="24"/>
          <w:lang w:val="en-US"/>
        </w:rPr>
        <w:t xml:space="preserve">No one from GRUPO MOLGAS ENERGY who is aware of the communication made, where appropriate, to the Administrative Body competent in the matter in each country, may disclose to third parties that said </w:t>
      </w:r>
      <w:proofErr w:type="gramStart"/>
      <w:r w:rsidRPr="00CD04A0">
        <w:rPr>
          <w:rFonts w:ascii="Aptos" w:hAnsi="Aptos" w:cs="Times New Roman"/>
          <w:color w:val="201B52"/>
          <w:sz w:val="24"/>
          <w:szCs w:val="24"/>
          <w:lang w:val="en-US"/>
        </w:rPr>
        <w:t>communication</w:t>
      </w:r>
      <w:proofErr w:type="gramEnd"/>
      <w:r w:rsidRPr="00CD04A0">
        <w:rPr>
          <w:rFonts w:ascii="Aptos" w:hAnsi="Aptos" w:cs="Times New Roman"/>
          <w:color w:val="201B52"/>
          <w:sz w:val="24"/>
          <w:szCs w:val="24"/>
          <w:lang w:val="en-US"/>
        </w:rPr>
        <w:t xml:space="preserve"> or any detail thereof has been made.</w:t>
      </w:r>
    </w:p>
    <w:p w14:paraId="50753248" w14:textId="77777777" w:rsidR="00CD04A0" w:rsidRPr="00CD04A0" w:rsidRDefault="00CD04A0" w:rsidP="00CD04A0">
      <w:pPr>
        <w:pStyle w:val="Sinespaciado"/>
        <w:spacing w:before="120" w:after="120"/>
        <w:jc w:val="both"/>
        <w:rPr>
          <w:rFonts w:ascii="Aptos" w:hAnsi="Aptos" w:cs="Times New Roman"/>
          <w:color w:val="201B52"/>
          <w:sz w:val="24"/>
          <w:szCs w:val="24"/>
          <w:lang w:val="en-US"/>
        </w:rPr>
      </w:pPr>
    </w:p>
    <w:p w14:paraId="3B16D198" w14:textId="77777777" w:rsidR="00CD04A0" w:rsidRPr="00CD04A0" w:rsidRDefault="00CD04A0" w:rsidP="00CD04A0">
      <w:pPr>
        <w:pStyle w:val="Sinespaciado"/>
        <w:spacing w:before="120" w:after="120"/>
        <w:jc w:val="both"/>
        <w:rPr>
          <w:rFonts w:ascii="Aptos" w:hAnsi="Aptos"/>
          <w:color w:val="201B52"/>
          <w:sz w:val="24"/>
          <w:szCs w:val="24"/>
          <w:lang w:val="en-US"/>
        </w:rPr>
      </w:pPr>
    </w:p>
    <w:p w14:paraId="75737B19" w14:textId="77777777" w:rsidR="00CD04A0" w:rsidRPr="00CD04A0" w:rsidRDefault="00CD04A0" w:rsidP="00CD04A0">
      <w:pPr>
        <w:pStyle w:val="Prrafodelista"/>
        <w:numPr>
          <w:ilvl w:val="0"/>
          <w:numId w:val="31"/>
        </w:numPr>
        <w:spacing w:before="120" w:after="120"/>
        <w:jc w:val="both"/>
        <w:rPr>
          <w:rFonts w:ascii="Aptos" w:hAnsi="Aptos"/>
          <w:b/>
          <w:bCs/>
          <w:color w:val="201B52"/>
          <w:sz w:val="24"/>
          <w:szCs w:val="24"/>
        </w:rPr>
      </w:pPr>
      <w:r w:rsidRPr="00CD04A0">
        <w:rPr>
          <w:rFonts w:ascii="Aptos" w:hAnsi="Aptos"/>
          <w:b/>
          <w:bCs/>
          <w:color w:val="201B52"/>
          <w:sz w:val="24"/>
          <w:szCs w:val="24"/>
        </w:rPr>
        <w:t>FORMATION</w:t>
      </w:r>
    </w:p>
    <w:p w14:paraId="6A4667D7" w14:textId="77777777" w:rsidR="00CD04A0" w:rsidRPr="00CD04A0" w:rsidRDefault="00CD04A0" w:rsidP="00CD04A0">
      <w:pPr>
        <w:pStyle w:val="Prrafodelista"/>
        <w:spacing w:before="120" w:after="120"/>
        <w:ind w:left="0"/>
        <w:jc w:val="both"/>
        <w:rPr>
          <w:rFonts w:ascii="Aptos" w:hAnsi="Aptos"/>
          <w:b/>
          <w:bCs/>
          <w:color w:val="201B52"/>
          <w:sz w:val="24"/>
          <w:szCs w:val="24"/>
        </w:rPr>
      </w:pPr>
    </w:p>
    <w:p w14:paraId="2A0A8364" w14:textId="77777777" w:rsidR="00CD04A0" w:rsidRPr="00CD04A0" w:rsidRDefault="00CD04A0" w:rsidP="00CD04A0">
      <w:pPr>
        <w:pStyle w:val="Prrafodelista"/>
        <w:spacing w:before="120" w:after="120"/>
        <w:ind w:left="0"/>
        <w:jc w:val="both"/>
        <w:rPr>
          <w:rFonts w:ascii="Aptos" w:hAnsi="Aptos"/>
          <w:color w:val="201B52"/>
          <w:sz w:val="24"/>
          <w:szCs w:val="24"/>
          <w:lang w:val="en-US"/>
        </w:rPr>
      </w:pPr>
      <w:r w:rsidRPr="00CD04A0">
        <w:rPr>
          <w:rFonts w:ascii="Aptos" w:hAnsi="Aptos"/>
          <w:color w:val="201B52"/>
          <w:sz w:val="24"/>
          <w:szCs w:val="24"/>
          <w:lang w:val="en-US"/>
        </w:rPr>
        <w:t xml:space="preserve">This PROTOCOL must be included among the mandatory training subjects in the Training Action </w:t>
      </w:r>
      <w:proofErr w:type="spellStart"/>
      <w:r w:rsidRPr="00CD04A0">
        <w:rPr>
          <w:rFonts w:ascii="Aptos" w:hAnsi="Aptos"/>
          <w:color w:val="201B52"/>
          <w:sz w:val="24"/>
          <w:szCs w:val="24"/>
          <w:lang w:val="en-US"/>
        </w:rPr>
        <w:t>Programmes</w:t>
      </w:r>
      <w:proofErr w:type="spellEnd"/>
      <w:r w:rsidRPr="00CD04A0">
        <w:rPr>
          <w:rFonts w:ascii="Aptos" w:hAnsi="Aptos"/>
          <w:color w:val="201B52"/>
          <w:sz w:val="24"/>
          <w:szCs w:val="24"/>
          <w:lang w:val="en-US"/>
        </w:rPr>
        <w:t xml:space="preserve"> in the field of Compliance.</w:t>
      </w:r>
    </w:p>
    <w:p w14:paraId="705F5676" w14:textId="77777777" w:rsidR="00CD04A0" w:rsidRPr="00CD04A0" w:rsidRDefault="00CD04A0" w:rsidP="00CD04A0">
      <w:pPr>
        <w:pStyle w:val="Prrafodelista"/>
        <w:spacing w:before="120" w:after="120"/>
        <w:ind w:left="567"/>
        <w:jc w:val="both"/>
        <w:rPr>
          <w:rFonts w:ascii="Aptos" w:hAnsi="Aptos"/>
          <w:b/>
          <w:bCs/>
          <w:color w:val="201B52"/>
          <w:sz w:val="24"/>
          <w:szCs w:val="24"/>
          <w:lang w:val="en-US"/>
        </w:rPr>
      </w:pPr>
    </w:p>
    <w:p w14:paraId="1484E37B" w14:textId="77777777" w:rsidR="00CD04A0" w:rsidRPr="00CD04A0" w:rsidRDefault="00CD04A0" w:rsidP="00CD04A0">
      <w:pPr>
        <w:pStyle w:val="Prrafodelista"/>
        <w:numPr>
          <w:ilvl w:val="0"/>
          <w:numId w:val="31"/>
        </w:numPr>
        <w:spacing w:before="120" w:after="120"/>
        <w:jc w:val="both"/>
        <w:rPr>
          <w:rFonts w:ascii="Aptos" w:hAnsi="Aptos"/>
          <w:b/>
          <w:bCs/>
          <w:color w:val="201B52"/>
          <w:sz w:val="24"/>
          <w:szCs w:val="24"/>
          <w:lang w:val="en-US"/>
        </w:rPr>
      </w:pPr>
      <w:r w:rsidRPr="00CD04A0">
        <w:rPr>
          <w:rFonts w:ascii="Aptos" w:hAnsi="Aptos"/>
          <w:b/>
          <w:bCs/>
          <w:color w:val="201B52"/>
          <w:sz w:val="24"/>
          <w:szCs w:val="24"/>
          <w:lang w:val="en-US"/>
        </w:rPr>
        <w:lastRenderedPageBreak/>
        <w:t>INTERNAL INFORMATION SYSTEM AND WHISTLEBLOWING CHANNEL</w:t>
      </w:r>
    </w:p>
    <w:p w14:paraId="4917ADD7" w14:textId="77777777" w:rsidR="00CD04A0" w:rsidRPr="00CD04A0" w:rsidRDefault="00CD04A0" w:rsidP="00CD04A0">
      <w:pPr>
        <w:spacing w:before="120" w:after="120" w:line="240" w:lineRule="auto"/>
        <w:jc w:val="both"/>
        <w:rPr>
          <w:rFonts w:ascii="Aptos" w:hAnsi="Aptos"/>
          <w:b/>
          <w:bCs/>
          <w:color w:val="201B52"/>
          <w:sz w:val="24"/>
          <w:lang w:val="en-US"/>
        </w:rPr>
      </w:pPr>
    </w:p>
    <w:p w14:paraId="2C74E7E0"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If there is a well-founded suspicion of non-compliance with the provisions of this PROTOCOL, you are obliged to report it immediately through the mechanisms contemplated in the INTERNAL INFORMATION SYSTEM AND WHISTLEBLOWING CHANNEL of MOLGAS ENERGY GROUP.</w:t>
      </w:r>
    </w:p>
    <w:p w14:paraId="1BF03CE4" w14:textId="77777777" w:rsidR="00CD04A0" w:rsidRPr="00CD04A0" w:rsidRDefault="00CD04A0" w:rsidP="00CD04A0">
      <w:pPr>
        <w:spacing w:before="120" w:after="120" w:line="240" w:lineRule="auto"/>
        <w:jc w:val="both"/>
        <w:rPr>
          <w:rFonts w:ascii="Aptos" w:hAnsi="Aptos"/>
          <w:b/>
          <w:bCs/>
          <w:color w:val="201B52"/>
          <w:sz w:val="24"/>
          <w:lang w:val="en-US"/>
        </w:rPr>
      </w:pPr>
    </w:p>
    <w:p w14:paraId="6A5CB95D" w14:textId="77777777" w:rsidR="00CD04A0" w:rsidRPr="00CD04A0" w:rsidRDefault="00CD04A0" w:rsidP="00CD04A0">
      <w:pPr>
        <w:spacing w:before="120" w:after="120" w:line="240" w:lineRule="auto"/>
        <w:jc w:val="both"/>
        <w:rPr>
          <w:rFonts w:ascii="Aptos" w:hAnsi="Aptos"/>
          <w:b/>
          <w:bCs/>
          <w:color w:val="201B52"/>
          <w:sz w:val="24"/>
          <w:lang w:val="en-US"/>
        </w:rPr>
      </w:pPr>
    </w:p>
    <w:p w14:paraId="02400A04" w14:textId="77777777" w:rsidR="00CD04A0" w:rsidRPr="00CD04A0" w:rsidRDefault="00CD04A0" w:rsidP="00CD04A0">
      <w:pPr>
        <w:pStyle w:val="Prrafodelista"/>
        <w:numPr>
          <w:ilvl w:val="0"/>
          <w:numId w:val="31"/>
        </w:numPr>
        <w:spacing w:before="120" w:after="120"/>
        <w:jc w:val="both"/>
        <w:rPr>
          <w:rFonts w:ascii="Aptos" w:hAnsi="Aptos"/>
          <w:b/>
          <w:bCs/>
          <w:color w:val="201B52"/>
          <w:sz w:val="24"/>
          <w:szCs w:val="24"/>
          <w:lang w:val="en-US"/>
        </w:rPr>
      </w:pPr>
      <w:r w:rsidRPr="00CD04A0">
        <w:rPr>
          <w:rFonts w:ascii="Aptos" w:hAnsi="Aptos"/>
          <w:b/>
          <w:bCs/>
          <w:color w:val="201B52"/>
          <w:sz w:val="24"/>
          <w:szCs w:val="24"/>
          <w:lang w:val="en-US"/>
        </w:rPr>
        <w:t>CONSEQUENCES OF NON-COMPLIANCE WITH THE PROTOCOL</w:t>
      </w:r>
    </w:p>
    <w:p w14:paraId="6DCCFE23" w14:textId="77777777" w:rsidR="00CD04A0" w:rsidRPr="00CD04A0" w:rsidRDefault="00CD04A0" w:rsidP="00CD04A0">
      <w:pPr>
        <w:spacing w:before="120" w:after="120" w:line="240" w:lineRule="auto"/>
        <w:jc w:val="both"/>
        <w:rPr>
          <w:rFonts w:ascii="Aptos" w:hAnsi="Aptos"/>
          <w:color w:val="201B52"/>
          <w:sz w:val="24"/>
          <w:lang w:val="en-US"/>
        </w:rPr>
      </w:pPr>
    </w:p>
    <w:p w14:paraId="6C3E77E1"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When non-compliance with any point contained in this PROTOCOL HAS BEEN DEMONSTRATED, MOLGAS ENERGY GROUP will be entitled to impose the corresponding disciplinary sanctions, respecting, in all cases, the content of the applicable legislation on the regulation of employees and the content of the set of working conditions agreed in the corresponding legal entity or sector of economic activity.</w:t>
      </w:r>
    </w:p>
    <w:p w14:paraId="3389EA8D" w14:textId="77777777" w:rsidR="00CD04A0" w:rsidRPr="00CD04A0" w:rsidRDefault="00CD04A0" w:rsidP="00CD04A0">
      <w:pPr>
        <w:spacing w:before="120" w:after="120" w:line="240" w:lineRule="auto"/>
        <w:rPr>
          <w:rFonts w:ascii="Aptos" w:hAnsi="Aptos"/>
          <w:color w:val="201B52"/>
          <w:sz w:val="24"/>
          <w:lang w:val="en-US"/>
        </w:rPr>
      </w:pPr>
    </w:p>
    <w:p w14:paraId="4CF7E7C8" w14:textId="77777777" w:rsidR="00CD04A0" w:rsidRPr="00CD04A0" w:rsidRDefault="00CD04A0" w:rsidP="00CD04A0">
      <w:pPr>
        <w:spacing w:before="120" w:after="120" w:line="240" w:lineRule="auto"/>
        <w:rPr>
          <w:rFonts w:ascii="Aptos" w:hAnsi="Aptos"/>
          <w:color w:val="201B52"/>
          <w:sz w:val="24"/>
          <w:lang w:val="en-US"/>
        </w:rPr>
      </w:pPr>
    </w:p>
    <w:p w14:paraId="5D83C536" w14:textId="77777777" w:rsidR="00CD04A0" w:rsidRPr="00CD04A0" w:rsidRDefault="00CD04A0" w:rsidP="00CD04A0">
      <w:pPr>
        <w:pStyle w:val="Prrafodelista"/>
        <w:numPr>
          <w:ilvl w:val="0"/>
          <w:numId w:val="31"/>
        </w:numPr>
        <w:spacing w:before="120" w:after="120"/>
        <w:jc w:val="both"/>
        <w:rPr>
          <w:rFonts w:ascii="Aptos" w:hAnsi="Aptos"/>
          <w:b/>
          <w:bCs/>
          <w:color w:val="201B52"/>
          <w:sz w:val="24"/>
          <w:szCs w:val="24"/>
        </w:rPr>
      </w:pPr>
      <w:r w:rsidRPr="00CD04A0">
        <w:rPr>
          <w:rFonts w:ascii="Aptos" w:hAnsi="Aptos"/>
          <w:b/>
          <w:bCs/>
          <w:color w:val="201B52"/>
          <w:sz w:val="24"/>
          <w:szCs w:val="24"/>
          <w:lang w:val="en-US"/>
        </w:rPr>
        <w:t xml:space="preserve">APPROVAL AND ENTRY INTO FORCE. </w:t>
      </w:r>
      <w:r w:rsidRPr="00CD04A0">
        <w:rPr>
          <w:rFonts w:ascii="Aptos" w:hAnsi="Aptos"/>
          <w:b/>
          <w:bCs/>
          <w:color w:val="201B52"/>
          <w:sz w:val="24"/>
          <w:szCs w:val="24"/>
        </w:rPr>
        <w:t>UPDATE</w:t>
      </w:r>
    </w:p>
    <w:p w14:paraId="2331957D" w14:textId="77777777" w:rsidR="00CD04A0" w:rsidRPr="00CD04A0" w:rsidRDefault="00CD04A0" w:rsidP="00CD04A0">
      <w:pPr>
        <w:spacing w:before="120" w:after="120" w:line="240" w:lineRule="auto"/>
        <w:jc w:val="both"/>
        <w:rPr>
          <w:rFonts w:ascii="Aptos" w:hAnsi="Aptos"/>
          <w:color w:val="201B52"/>
          <w:sz w:val="24"/>
        </w:rPr>
      </w:pPr>
    </w:p>
    <w:p w14:paraId="4040B354"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 xml:space="preserve">This PROTOCOL has been approved by the GLOBAL COMPLIANCE SUPERVISORY BODY of MOLGAS ENERGY </w:t>
      </w:r>
      <w:proofErr w:type="gramStart"/>
      <w:r w:rsidRPr="00CD04A0">
        <w:rPr>
          <w:rFonts w:ascii="Aptos" w:hAnsi="Aptos"/>
          <w:color w:val="201B52"/>
          <w:sz w:val="24"/>
          <w:lang w:val="en-US"/>
        </w:rPr>
        <w:t>GROUP, and</w:t>
      </w:r>
      <w:proofErr w:type="gramEnd"/>
      <w:r w:rsidRPr="00CD04A0">
        <w:rPr>
          <w:rFonts w:ascii="Aptos" w:hAnsi="Aptos"/>
          <w:color w:val="201B52"/>
          <w:sz w:val="24"/>
          <w:lang w:val="en-US"/>
        </w:rPr>
        <w:t xml:space="preserve"> has been in force since the day of its approval, and has binding effects for its recipients, as contemplated in Chapter 2. thereof.</w:t>
      </w:r>
    </w:p>
    <w:p w14:paraId="0D2C6BF8" w14:textId="77777777" w:rsidR="00CD04A0" w:rsidRPr="00CD04A0" w:rsidRDefault="00CD04A0" w:rsidP="00CD04A0">
      <w:pPr>
        <w:spacing w:before="120" w:after="120" w:line="240" w:lineRule="auto"/>
        <w:jc w:val="both"/>
        <w:rPr>
          <w:rFonts w:ascii="Aptos" w:hAnsi="Aptos"/>
          <w:color w:val="201B52"/>
          <w:sz w:val="24"/>
          <w:lang w:val="en-US"/>
        </w:rPr>
      </w:pPr>
    </w:p>
    <w:p w14:paraId="7C36C362" w14:textId="77777777" w:rsidR="00CD04A0" w:rsidRPr="00CD04A0" w:rsidRDefault="00CD04A0" w:rsidP="00CD04A0">
      <w:pPr>
        <w:spacing w:before="120" w:after="120" w:line="240" w:lineRule="auto"/>
        <w:jc w:val="both"/>
        <w:rPr>
          <w:rFonts w:ascii="Aptos" w:hAnsi="Aptos"/>
          <w:color w:val="201B52"/>
          <w:sz w:val="24"/>
          <w:lang w:val="en-US"/>
        </w:rPr>
      </w:pPr>
      <w:r w:rsidRPr="00CD04A0">
        <w:rPr>
          <w:rFonts w:ascii="Aptos" w:hAnsi="Aptos"/>
          <w:color w:val="201B52"/>
          <w:sz w:val="24"/>
          <w:lang w:val="en-US"/>
        </w:rPr>
        <w:t>Likewise, this PROTOCOL will be subject to review and, where appropriate, update, on an ongoing basis, by the GLOBAL COMPLIANCE SUPERVISORY BODY of MOLGAS ENERGY GROUP. Specifically, it will be modified whenever the possibility of some improvement is assessed and, in any case, when the existence of a risk that has not been previously assessed is confirmed.</w:t>
      </w:r>
    </w:p>
    <w:p w14:paraId="5BF292F1" w14:textId="77777777" w:rsidR="00CD04A0" w:rsidRPr="00CD04A0" w:rsidRDefault="00CD04A0" w:rsidP="00CD04A0">
      <w:pPr>
        <w:spacing w:before="120" w:after="120" w:line="240" w:lineRule="auto"/>
        <w:rPr>
          <w:rFonts w:ascii="Aptos" w:hAnsi="Aptos"/>
          <w:color w:val="201B52"/>
          <w:lang w:val="en-US"/>
        </w:rPr>
      </w:pPr>
    </w:p>
    <w:p w14:paraId="38A25E95" w14:textId="3B1CEC58" w:rsidR="00CC2222" w:rsidRPr="00CD04A0" w:rsidRDefault="00CC2222" w:rsidP="00CD04A0">
      <w:pPr>
        <w:spacing w:before="120" w:after="120" w:line="240" w:lineRule="auto"/>
        <w:rPr>
          <w:rFonts w:ascii="Aptos" w:hAnsi="Aptos"/>
          <w:color w:val="201B52"/>
          <w:lang w:val="en-US"/>
        </w:rPr>
      </w:pPr>
    </w:p>
    <w:sectPr w:rsidR="00CC2222" w:rsidRPr="00CD04A0" w:rsidSect="00107DE8">
      <w:headerReference w:type="even" r:id="rId7"/>
      <w:headerReference w:type="default" r:id="rId8"/>
      <w:footerReference w:type="even" r:id="rId9"/>
      <w:footerReference w:type="default" r:id="rId10"/>
      <w:headerReference w:type="first" r:id="rId11"/>
      <w:footerReference w:type="first" r:id="rId12"/>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DAD2" w14:textId="77777777" w:rsidR="00426DCF" w:rsidRDefault="00426DCF" w:rsidP="00136351">
      <w:pPr>
        <w:spacing w:after="0" w:line="240" w:lineRule="auto"/>
      </w:pPr>
      <w:r>
        <w:separator/>
      </w:r>
    </w:p>
  </w:endnote>
  <w:endnote w:type="continuationSeparator" w:id="0">
    <w:p w14:paraId="1358BFF1" w14:textId="77777777" w:rsidR="00426DCF" w:rsidRDefault="00426DCF"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pitch w:val="variable"/>
    <w:sig w:usb0="A10000FF" w:usb1="4000005B" w:usb2="00000000" w:usb3="00000000" w:csb0="0000019B" w:csb1="00000000"/>
  </w:font>
  <w:font w:name="GuggenheimHTFBook">
    <w:altName w:val="Calibri"/>
    <w:panose1 w:val="020B0604020202020204"/>
    <w:charset w:val="00"/>
    <w:family w:val="swiss"/>
    <w:notTrueType/>
    <w:pitch w:val="default"/>
    <w:sig w:usb0="00000003" w:usb1="00000000" w:usb2="00000000" w:usb3="00000000" w:csb0="00000001" w:csb1="00000000"/>
  </w:font>
  <w:font w:name="Gotham Medium">
    <w:altName w:val="Calibri"/>
    <w:panose1 w:val="00000000000000000000"/>
    <w:charset w:val="00"/>
    <w:family w:val="auto"/>
    <w:pitch w:val="variable"/>
    <w:sig w:usb0="A100007F" w:usb1="4000005B" w:usb2="00000000" w:usb3="00000000" w:csb0="0000009B"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6B39" w14:textId="77777777" w:rsidR="00426DCF" w:rsidRDefault="00426DCF" w:rsidP="00136351">
      <w:pPr>
        <w:spacing w:after="0" w:line="240" w:lineRule="auto"/>
      </w:pPr>
      <w:r>
        <w:separator/>
      </w:r>
    </w:p>
  </w:footnote>
  <w:footnote w:type="continuationSeparator" w:id="0">
    <w:p w14:paraId="3A1F3869" w14:textId="77777777" w:rsidR="00426DCF" w:rsidRDefault="00426DCF"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678"/>
    <w:multiLevelType w:val="multilevel"/>
    <w:tmpl w:val="B26C4CD6"/>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3964111"/>
    <w:multiLevelType w:val="hybridMultilevel"/>
    <w:tmpl w:val="16507B3C"/>
    <w:lvl w:ilvl="0" w:tplc="50DC75D6">
      <w:start w:val="1"/>
      <w:numFmt w:val="upperRoman"/>
      <w:pStyle w:val="Tit1"/>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344F30"/>
    <w:multiLevelType w:val="hybridMultilevel"/>
    <w:tmpl w:val="67441F96"/>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 w15:restartNumberingAfterBreak="0">
    <w:nsid w:val="0C066BDD"/>
    <w:multiLevelType w:val="hybridMultilevel"/>
    <w:tmpl w:val="747E9404"/>
    <w:lvl w:ilvl="0" w:tplc="F2C28C58">
      <w:start w:val="1"/>
      <w:numFmt w:val="lowerLetter"/>
      <w:lvlText w:val="%1)"/>
      <w:lvlJc w:val="left"/>
      <w:pPr>
        <w:ind w:left="720" w:hanging="360"/>
      </w:pPr>
      <w:rPr>
        <w:rFonts w:ascii="Cambria" w:hAnsi="Cambria"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760C35"/>
    <w:multiLevelType w:val="hybridMultilevel"/>
    <w:tmpl w:val="11C650A0"/>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E64290"/>
    <w:multiLevelType w:val="hybridMultilevel"/>
    <w:tmpl w:val="A2D2E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6F0226"/>
    <w:multiLevelType w:val="hybridMultilevel"/>
    <w:tmpl w:val="27381DCC"/>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A716B8"/>
    <w:multiLevelType w:val="hybridMultilevel"/>
    <w:tmpl w:val="9266F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384F49"/>
    <w:multiLevelType w:val="multilevel"/>
    <w:tmpl w:val="E5907F68"/>
    <w:lvl w:ilvl="0">
      <w:start w:val="1"/>
      <w:numFmt w:val="decimal"/>
      <w:lvlText w:val="%1."/>
      <w:lvlJc w:val="left"/>
      <w:pPr>
        <w:ind w:left="360" w:hanging="360"/>
      </w:pPr>
      <w:rPr>
        <w:rFonts w:hint="default"/>
      </w:rPr>
    </w:lvl>
    <w:lvl w:ilvl="1">
      <w:start w:val="2"/>
      <w:numFmt w:val="decimal"/>
      <w:pStyle w:val="1Ti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250C68"/>
    <w:multiLevelType w:val="hybridMultilevel"/>
    <w:tmpl w:val="E3FA800C"/>
    <w:lvl w:ilvl="0" w:tplc="A220264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47E3445"/>
    <w:multiLevelType w:val="hybridMultilevel"/>
    <w:tmpl w:val="0A20CF64"/>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C61607"/>
    <w:multiLevelType w:val="hybridMultilevel"/>
    <w:tmpl w:val="67B8593E"/>
    <w:lvl w:ilvl="0" w:tplc="4C469BFA">
      <w:start w:val="1"/>
      <w:numFmt w:val="decimal"/>
      <w:lvlText w:val="%1."/>
      <w:lvlJc w:val="left"/>
      <w:pPr>
        <w:ind w:left="36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03F05"/>
    <w:multiLevelType w:val="hybridMultilevel"/>
    <w:tmpl w:val="D3FC00A6"/>
    <w:lvl w:ilvl="0" w:tplc="7C1CA00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ED55AA"/>
    <w:multiLevelType w:val="hybridMultilevel"/>
    <w:tmpl w:val="FA288500"/>
    <w:lvl w:ilvl="0" w:tplc="F2C28C58">
      <w:start w:val="1"/>
      <w:numFmt w:val="lowerLetter"/>
      <w:lvlText w:val="%1)"/>
      <w:lvlJc w:val="left"/>
      <w:pPr>
        <w:ind w:left="720" w:hanging="360"/>
      </w:pPr>
      <w:rPr>
        <w:rFonts w:ascii="Cambria" w:hAnsi="Cambri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F2DAE"/>
    <w:multiLevelType w:val="hybridMultilevel"/>
    <w:tmpl w:val="4740D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1471C25"/>
    <w:multiLevelType w:val="hybridMultilevel"/>
    <w:tmpl w:val="6C6CCF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7A2425"/>
    <w:multiLevelType w:val="hybridMultilevel"/>
    <w:tmpl w:val="F9106800"/>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E0870"/>
    <w:multiLevelType w:val="hybridMultilevel"/>
    <w:tmpl w:val="BBBA3D9E"/>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0" w15:restartNumberingAfterBreak="0">
    <w:nsid w:val="38705031"/>
    <w:multiLevelType w:val="multilevel"/>
    <w:tmpl w:val="64CEC2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3029E"/>
    <w:multiLevelType w:val="hybridMultilevel"/>
    <w:tmpl w:val="3564AF8A"/>
    <w:lvl w:ilvl="0" w:tplc="0AA6C832">
      <w:start w:val="1"/>
      <w:numFmt w:val="decimal"/>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BAE33CE"/>
    <w:multiLevelType w:val="hybridMultilevel"/>
    <w:tmpl w:val="C68C76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EA242D"/>
    <w:multiLevelType w:val="hybridMultilevel"/>
    <w:tmpl w:val="29FC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0640452"/>
    <w:multiLevelType w:val="hybridMultilevel"/>
    <w:tmpl w:val="EF4CC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22349C"/>
    <w:multiLevelType w:val="hybridMultilevel"/>
    <w:tmpl w:val="E25468EE"/>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6A75E7"/>
    <w:multiLevelType w:val="hybridMultilevel"/>
    <w:tmpl w:val="E348F6F8"/>
    <w:lvl w:ilvl="0" w:tplc="0AA6C832">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F51B55"/>
    <w:multiLevelType w:val="hybridMultilevel"/>
    <w:tmpl w:val="7EFE6F56"/>
    <w:lvl w:ilvl="0" w:tplc="A224E5F0">
      <w:start w:val="1"/>
      <w:numFmt w:val="lowerLetter"/>
      <w:pStyle w:val="VIETA1"/>
      <w:lvlText w:val="%1)"/>
      <w:lvlJc w:val="left"/>
      <w:pPr>
        <w:ind w:left="644" w:hanging="360"/>
      </w:pPr>
      <w:rPr>
        <w:rFonts w:ascii="Gotham Book" w:eastAsia="Times New Roman" w:hAnsi="Gotham Book" w:cs="GuggenheimHTFBook"/>
        <w:color w:val="000099"/>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8" w15:restartNumberingAfterBreak="0">
    <w:nsid w:val="50EA6476"/>
    <w:multiLevelType w:val="hybridMultilevel"/>
    <w:tmpl w:val="9E5C9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34264A0"/>
    <w:multiLevelType w:val="hybridMultilevel"/>
    <w:tmpl w:val="70C6E816"/>
    <w:lvl w:ilvl="0" w:tplc="AFFCF6BA">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911B9B"/>
    <w:multiLevelType w:val="hybridMultilevel"/>
    <w:tmpl w:val="661482CA"/>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2" w15:restartNumberingAfterBreak="0">
    <w:nsid w:val="5CAC7894"/>
    <w:multiLevelType w:val="hybridMultilevel"/>
    <w:tmpl w:val="31748078"/>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324BCF"/>
    <w:multiLevelType w:val="hybridMultilevel"/>
    <w:tmpl w:val="9080F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A64F68"/>
    <w:multiLevelType w:val="hybridMultilevel"/>
    <w:tmpl w:val="8D7C4BB0"/>
    <w:lvl w:ilvl="0" w:tplc="ABA446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A14D31"/>
    <w:multiLevelType w:val="hybridMultilevel"/>
    <w:tmpl w:val="A560E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856711"/>
    <w:multiLevelType w:val="multilevel"/>
    <w:tmpl w:val="938A932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7" w15:restartNumberingAfterBreak="0">
    <w:nsid w:val="7E7D6415"/>
    <w:multiLevelType w:val="hybridMultilevel"/>
    <w:tmpl w:val="4C12A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38"/>
  </w:num>
  <w:num w:numId="2" w16cid:durableId="1849442865">
    <w:abstractNumId w:val="29"/>
  </w:num>
  <w:num w:numId="3" w16cid:durableId="376592886">
    <w:abstractNumId w:val="6"/>
  </w:num>
  <w:num w:numId="4" w16cid:durableId="184292966">
    <w:abstractNumId w:val="4"/>
  </w:num>
  <w:num w:numId="5" w16cid:durableId="1055278469">
    <w:abstractNumId w:val="10"/>
  </w:num>
  <w:num w:numId="6" w16cid:durableId="1316449384">
    <w:abstractNumId w:val="27"/>
  </w:num>
  <w:num w:numId="7" w16cid:durableId="573786477">
    <w:abstractNumId w:val="1"/>
  </w:num>
  <w:num w:numId="8" w16cid:durableId="654576788">
    <w:abstractNumId w:val="32"/>
  </w:num>
  <w:num w:numId="9" w16cid:durableId="991636704">
    <w:abstractNumId w:val="19"/>
  </w:num>
  <w:num w:numId="10" w16cid:durableId="1272207078">
    <w:abstractNumId w:val="2"/>
  </w:num>
  <w:num w:numId="11" w16cid:durableId="2015306366">
    <w:abstractNumId w:val="12"/>
  </w:num>
  <w:num w:numId="12" w16cid:durableId="1766656147">
    <w:abstractNumId w:val="31"/>
  </w:num>
  <w:num w:numId="13" w16cid:durableId="716465843">
    <w:abstractNumId w:val="5"/>
  </w:num>
  <w:num w:numId="14" w16cid:durableId="458037765">
    <w:abstractNumId w:val="34"/>
  </w:num>
  <w:num w:numId="15" w16cid:durableId="1170825862">
    <w:abstractNumId w:val="23"/>
  </w:num>
  <w:num w:numId="16" w16cid:durableId="689767055">
    <w:abstractNumId w:val="28"/>
  </w:num>
  <w:num w:numId="17" w16cid:durableId="1916088897">
    <w:abstractNumId w:val="20"/>
  </w:num>
  <w:num w:numId="18" w16cid:durableId="1048723245">
    <w:abstractNumId w:val="18"/>
  </w:num>
  <w:num w:numId="19" w16cid:durableId="62946357">
    <w:abstractNumId w:val="17"/>
  </w:num>
  <w:num w:numId="20" w16cid:durableId="1608266643">
    <w:abstractNumId w:val="13"/>
  </w:num>
  <w:num w:numId="21" w16cid:durableId="1657342104">
    <w:abstractNumId w:val="7"/>
  </w:num>
  <w:num w:numId="22" w16cid:durableId="168448367">
    <w:abstractNumId w:val="35"/>
  </w:num>
  <w:num w:numId="23" w16cid:durableId="167916283">
    <w:abstractNumId w:val="30"/>
  </w:num>
  <w:num w:numId="24" w16cid:durableId="159927912">
    <w:abstractNumId w:val="21"/>
  </w:num>
  <w:num w:numId="25" w16cid:durableId="1469663962">
    <w:abstractNumId w:val="26"/>
  </w:num>
  <w:num w:numId="26" w16cid:durableId="453524523">
    <w:abstractNumId w:val="15"/>
  </w:num>
  <w:num w:numId="27" w16cid:durableId="1083724079">
    <w:abstractNumId w:val="3"/>
  </w:num>
  <w:num w:numId="28" w16cid:durableId="1225022725">
    <w:abstractNumId w:val="22"/>
  </w:num>
  <w:num w:numId="29" w16cid:durableId="2083330195">
    <w:abstractNumId w:val="24"/>
  </w:num>
  <w:num w:numId="30" w16cid:durableId="1646396394">
    <w:abstractNumId w:val="0"/>
  </w:num>
  <w:num w:numId="31" w16cid:durableId="811946518">
    <w:abstractNumId w:val="36"/>
  </w:num>
  <w:num w:numId="32" w16cid:durableId="1651398772">
    <w:abstractNumId w:val="16"/>
  </w:num>
  <w:num w:numId="33" w16cid:durableId="903567181">
    <w:abstractNumId w:val="37"/>
  </w:num>
  <w:num w:numId="34" w16cid:durableId="942030997">
    <w:abstractNumId w:val="25"/>
  </w:num>
  <w:num w:numId="35" w16cid:durableId="1048842811">
    <w:abstractNumId w:val="8"/>
  </w:num>
  <w:num w:numId="36" w16cid:durableId="1263297351">
    <w:abstractNumId w:val="33"/>
  </w:num>
  <w:num w:numId="37" w16cid:durableId="1855001273">
    <w:abstractNumId w:val="9"/>
  </w:num>
  <w:num w:numId="38" w16cid:durableId="1897087297">
    <w:abstractNumId w:val="14"/>
  </w:num>
  <w:num w:numId="39" w16cid:durableId="203298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2D621D"/>
    <w:rsid w:val="00331891"/>
    <w:rsid w:val="00356A0C"/>
    <w:rsid w:val="00426DCF"/>
    <w:rsid w:val="00435EB8"/>
    <w:rsid w:val="004916A5"/>
    <w:rsid w:val="0051290F"/>
    <w:rsid w:val="005231DC"/>
    <w:rsid w:val="005648E9"/>
    <w:rsid w:val="00584E63"/>
    <w:rsid w:val="006D19EA"/>
    <w:rsid w:val="00797EB1"/>
    <w:rsid w:val="00915D29"/>
    <w:rsid w:val="00917A9E"/>
    <w:rsid w:val="00AA7874"/>
    <w:rsid w:val="00C11265"/>
    <w:rsid w:val="00CC2222"/>
    <w:rsid w:val="00CD04A0"/>
    <w:rsid w:val="00E1301A"/>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0">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0"/>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 w:type="table" w:styleId="Tablaconcuadrcula">
    <w:name w:val="Table Grid"/>
    <w:basedOn w:val="Tablanormal"/>
    <w:uiPriority w:val="39"/>
    <w:rsid w:val="0033189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
    <w:name w:val="1 Tit"/>
    <w:basedOn w:val="Prrafodelista"/>
    <w:link w:val="1TitCar"/>
    <w:qFormat/>
    <w:rsid w:val="00331891"/>
    <w:pPr>
      <w:numPr>
        <w:ilvl w:val="1"/>
        <w:numId w:val="5"/>
      </w:numPr>
      <w:jc w:val="both"/>
    </w:pPr>
    <w:rPr>
      <w:rFonts w:ascii="Gotham Medium" w:hAnsi="Gotham Medium"/>
      <w:color w:val="2F5496" w:themeColor="accent1" w:themeShade="BF"/>
    </w:rPr>
  </w:style>
  <w:style w:type="character" w:customStyle="1" w:styleId="1TitCar">
    <w:name w:val="1 Tit Car"/>
    <w:basedOn w:val="PrrafodelistaCar"/>
    <w:link w:val="1Tit"/>
    <w:rsid w:val="00331891"/>
    <w:rPr>
      <w:rFonts w:ascii="Gotham Medium" w:eastAsiaTheme="minorHAnsi" w:hAnsi="Gotham Medium"/>
      <w:color w:val="2F5496" w:themeColor="accent1" w:themeShade="BF"/>
      <w:kern w:val="0"/>
      <w:sz w:val="22"/>
      <w:szCs w:val="22"/>
      <w:lang w:eastAsia="en-US"/>
      <w14:ligatures w14:val="none"/>
    </w:rPr>
  </w:style>
  <w:style w:type="paragraph" w:customStyle="1" w:styleId="TextoBASE">
    <w:name w:val="Texto BASE"/>
    <w:basedOn w:val="Prrafodelista"/>
    <w:link w:val="TextoBASECar"/>
    <w:qFormat/>
    <w:rsid w:val="00331891"/>
    <w:pPr>
      <w:spacing w:after="120"/>
      <w:ind w:left="0"/>
      <w:contextualSpacing w:val="0"/>
      <w:jc w:val="both"/>
    </w:pPr>
    <w:rPr>
      <w:rFonts w:ascii="Gotham Book" w:eastAsia="Times New Roman" w:hAnsi="Gotham Book" w:cs="Times New Roman"/>
      <w:color w:val="404040" w:themeColor="text1" w:themeTint="BF"/>
    </w:rPr>
  </w:style>
  <w:style w:type="character" w:customStyle="1" w:styleId="TextoBASECar">
    <w:name w:val="Texto BASE Car"/>
    <w:basedOn w:val="Fuentedeprrafopredeter"/>
    <w:link w:val="TextoBASE"/>
    <w:locked/>
    <w:rsid w:val="00331891"/>
    <w:rPr>
      <w:rFonts w:ascii="Gotham Book" w:eastAsia="Times New Roman" w:hAnsi="Gotham Book" w:cs="Times New Roman"/>
      <w:color w:val="404040" w:themeColor="text1" w:themeTint="BF"/>
      <w:kern w:val="0"/>
      <w:sz w:val="22"/>
      <w:szCs w:val="22"/>
      <w:lang w:eastAsia="en-US"/>
      <w14:ligatures w14:val="none"/>
    </w:rPr>
  </w:style>
  <w:style w:type="paragraph" w:customStyle="1" w:styleId="VIETA1">
    <w:name w:val="VIÑETA 1"/>
    <w:basedOn w:val="Normal"/>
    <w:link w:val="VIETA1Car"/>
    <w:qFormat/>
    <w:rsid w:val="00331891"/>
    <w:pPr>
      <w:numPr>
        <w:numId w:val="6"/>
      </w:numPr>
      <w:autoSpaceDE w:val="0"/>
      <w:autoSpaceDN w:val="0"/>
      <w:adjustRightInd w:val="0"/>
      <w:spacing w:after="120" w:line="276" w:lineRule="auto"/>
      <w:ind w:left="652" w:hanging="227"/>
      <w:jc w:val="both"/>
    </w:pPr>
    <w:rPr>
      <w:rFonts w:ascii="Gotham Light" w:eastAsia="Times New Roman" w:hAnsi="Gotham Light" w:cs="GuggenheimHTFBook"/>
      <w:color w:val="7F7F7F" w:themeColor="text1" w:themeTint="80"/>
      <w:kern w:val="0"/>
      <w:szCs w:val="22"/>
      <w:lang w:eastAsia="en-US"/>
      <w14:ligatures w14:val="none"/>
    </w:rPr>
  </w:style>
  <w:style w:type="character" w:customStyle="1" w:styleId="VIETA1Car">
    <w:name w:val="VIÑETA 1 Car"/>
    <w:basedOn w:val="Fuentedeprrafopredeter"/>
    <w:link w:val="VIETA1"/>
    <w:locked/>
    <w:rsid w:val="00331891"/>
    <w:rPr>
      <w:rFonts w:ascii="Gotham Light" w:eastAsia="Times New Roman" w:hAnsi="Gotham Light" w:cs="GuggenheimHTFBook"/>
      <w:color w:val="7F7F7F" w:themeColor="text1" w:themeTint="80"/>
      <w:kern w:val="0"/>
      <w:sz w:val="22"/>
      <w:szCs w:val="22"/>
      <w:lang w:eastAsia="en-US"/>
      <w14:ligatures w14:val="none"/>
    </w:rPr>
  </w:style>
  <w:style w:type="paragraph" w:customStyle="1" w:styleId="Tit1">
    <w:name w:val="Tit_1"/>
    <w:basedOn w:val="Prrafodelista"/>
    <w:link w:val="Tit1Car0"/>
    <w:qFormat/>
    <w:rsid w:val="00331891"/>
    <w:pPr>
      <w:numPr>
        <w:numId w:val="7"/>
      </w:numPr>
      <w:pBdr>
        <w:top w:val="single" w:sz="4" w:space="4" w:color="A6A6A6" w:themeColor="background1" w:themeShade="A6"/>
        <w:bottom w:val="single" w:sz="4" w:space="1" w:color="A6A6A6" w:themeColor="background1" w:themeShade="A6"/>
      </w:pBdr>
      <w:spacing w:before="360" w:after="360" w:line="276" w:lineRule="auto"/>
      <w:ind w:left="567" w:hanging="567"/>
      <w:contextualSpacing w:val="0"/>
    </w:pPr>
    <w:rPr>
      <w:rFonts w:ascii="Gotham Medium" w:hAnsi="Gotham Medium"/>
      <w:b/>
      <w:color w:val="96AADC"/>
    </w:rPr>
  </w:style>
  <w:style w:type="character" w:customStyle="1" w:styleId="Tit1Car0">
    <w:name w:val="Tit_1 Car"/>
    <w:basedOn w:val="PrrafodelistaCar"/>
    <w:link w:val="Tit1"/>
    <w:rsid w:val="00331891"/>
    <w:rPr>
      <w:rFonts w:ascii="Gotham Medium" w:eastAsiaTheme="minorHAnsi" w:hAnsi="Gotham Medium"/>
      <w:b/>
      <w:color w:val="96AADC"/>
      <w:kern w:val="0"/>
      <w:sz w:val="22"/>
      <w:szCs w:val="22"/>
      <w:lang w:eastAsia="en-US"/>
      <w14:ligatures w14:val="none"/>
    </w:rPr>
  </w:style>
  <w:style w:type="paragraph" w:styleId="Sinespaciado">
    <w:name w:val="No Spacing"/>
    <w:link w:val="SinespaciadoCar"/>
    <w:uiPriority w:val="1"/>
    <w:qFormat/>
    <w:rsid w:val="00CD04A0"/>
    <w:rPr>
      <w:kern w:val="0"/>
      <w:sz w:val="22"/>
      <w:szCs w:val="22"/>
      <w:lang w:eastAsia="es-ES"/>
      <w14:ligatures w14:val="none"/>
    </w:rPr>
  </w:style>
  <w:style w:type="character" w:customStyle="1" w:styleId="SinespaciadoCar">
    <w:name w:val="Sin espaciado Car"/>
    <w:basedOn w:val="Fuentedeprrafopredeter"/>
    <w:link w:val="Sinespaciado"/>
    <w:uiPriority w:val="1"/>
    <w:rsid w:val="00CD04A0"/>
    <w:rPr>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1898</Words>
  <Characters>10442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2025-03-06T09:15:00Z</cp:lastPrinted>
  <dcterms:created xsi:type="dcterms:W3CDTF">2025-03-06T09:17:00Z</dcterms:created>
  <dcterms:modified xsi:type="dcterms:W3CDTF">2025-03-06T09:17:00Z</dcterms:modified>
</cp:coreProperties>
</file>