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9F87" w14:textId="77777777" w:rsidR="00CC2222" w:rsidRPr="00CC2222" w:rsidRDefault="00CC2222" w:rsidP="00CC2222">
      <w:pPr>
        <w:spacing w:after="120" w:line="240" w:lineRule="auto"/>
        <w:rPr>
          <w:rFonts w:ascii="Aptos" w:hAnsi="Aptos"/>
          <w:b/>
          <w:bCs/>
          <w:color w:val="201B52"/>
          <w:sz w:val="32"/>
          <w:szCs w:val="32"/>
          <w:lang w:val="en-US"/>
        </w:rPr>
      </w:pPr>
      <w:r w:rsidRPr="00CC2222">
        <w:rPr>
          <w:rFonts w:ascii="Aptos" w:hAnsi="Aptos"/>
          <w:b/>
          <w:bCs/>
          <w:color w:val="201B52"/>
          <w:sz w:val="32"/>
          <w:szCs w:val="32"/>
          <w:lang w:val="en-US"/>
        </w:rPr>
        <w:t>GLOBAL SUPERVISORY BODY. COMPLIANCE STRUCTURE</w:t>
      </w:r>
    </w:p>
    <w:p w14:paraId="6263C021" w14:textId="77777777" w:rsidR="00CC2222" w:rsidRPr="00CC2222" w:rsidRDefault="00CC2222" w:rsidP="00CC2222">
      <w:pPr>
        <w:spacing w:after="120" w:line="240" w:lineRule="auto"/>
        <w:jc w:val="both"/>
        <w:rPr>
          <w:rFonts w:ascii="Aptos" w:hAnsi="Aptos"/>
          <w:smallCaps/>
          <w:color w:val="201B52"/>
          <w:sz w:val="16"/>
          <w:szCs w:val="16"/>
          <w:lang w:val="en-US"/>
        </w:rPr>
      </w:pPr>
    </w:p>
    <w:p w14:paraId="27CE93C6" w14:textId="77777777" w:rsidR="00CC2222" w:rsidRPr="00CC2222" w:rsidRDefault="00CC2222" w:rsidP="00CC2222">
      <w:pPr>
        <w:spacing w:after="120" w:line="240" w:lineRule="auto"/>
        <w:jc w:val="both"/>
        <w:rPr>
          <w:rFonts w:ascii="Aptos" w:hAnsi="Aptos"/>
          <w:i/>
          <w:color w:val="201B52"/>
          <w:sz w:val="24"/>
          <w:lang w:val="en-US"/>
        </w:rPr>
      </w:pPr>
      <w:r w:rsidRPr="00CC2222">
        <w:rPr>
          <w:rFonts w:ascii="Aptos" w:hAnsi="Aptos"/>
          <w:color w:val="201B52"/>
          <w:sz w:val="24"/>
          <w:lang w:val="en-US"/>
        </w:rPr>
        <w:t xml:space="preserve">In Spain, criminal legislation establishes that in order for a legal person to be exempt from criminal liability, </w:t>
      </w:r>
      <w:r w:rsidRPr="00CC2222">
        <w:rPr>
          <w:rFonts w:ascii="Aptos" w:hAnsi="Aptos"/>
          <w:iCs/>
          <w:color w:val="201B52"/>
          <w:sz w:val="24"/>
          <w:lang w:val="en-US"/>
        </w:rPr>
        <w:t>the supervision of the operation and compliance with the prevention model implemented must have been entrusted to a body of the legal person with autonomous powers of initiative and control or that is legally entrusted with the function of supervising the effectiveness of the internal controls of the legal person.</w:t>
      </w:r>
    </w:p>
    <w:p w14:paraId="3B07C7FB" w14:textId="77777777" w:rsidR="00CC2222" w:rsidRPr="00CC2222" w:rsidRDefault="00CC2222" w:rsidP="00CC2222">
      <w:pPr>
        <w:spacing w:after="120" w:line="240" w:lineRule="auto"/>
        <w:jc w:val="both"/>
        <w:rPr>
          <w:rFonts w:ascii="Aptos" w:hAnsi="Aptos"/>
          <w:color w:val="201B52"/>
          <w:sz w:val="16"/>
          <w:szCs w:val="16"/>
          <w:lang w:val="en-US"/>
        </w:rPr>
      </w:pPr>
    </w:p>
    <w:p w14:paraId="348FB2BD" w14:textId="77777777" w:rsidR="00CC2222" w:rsidRPr="00CC2222" w:rsidRDefault="00CC2222" w:rsidP="00CC2222">
      <w:pPr>
        <w:spacing w:after="120" w:line="240" w:lineRule="auto"/>
        <w:jc w:val="both"/>
        <w:rPr>
          <w:rFonts w:ascii="Aptos" w:hAnsi="Aptos"/>
          <w:color w:val="201B52"/>
          <w:sz w:val="24"/>
          <w:lang w:val="en-US"/>
        </w:rPr>
      </w:pPr>
      <w:r w:rsidRPr="00CC2222">
        <w:rPr>
          <w:rFonts w:ascii="Aptos" w:hAnsi="Aptos"/>
          <w:color w:val="201B52"/>
          <w:sz w:val="24"/>
          <w:lang w:val="en-US"/>
        </w:rPr>
        <w:t>In this regard, MOLGAS ENERGY GROUP, following the implementation of its Comprehensive System for the Prevention and Management of Legal and Criminal Risks (Comprehensive Compliance Model) in Spain, has set up this Compliance Model Supervisory Body, which now extends all its functions to the rest of the commercial companies that are part of it.</w:t>
      </w:r>
    </w:p>
    <w:p w14:paraId="07C8CC3D" w14:textId="77777777" w:rsidR="00CC2222" w:rsidRPr="00CC2222" w:rsidRDefault="00CC2222" w:rsidP="00CC2222">
      <w:pPr>
        <w:spacing w:after="120" w:line="240" w:lineRule="auto"/>
        <w:jc w:val="both"/>
        <w:rPr>
          <w:rFonts w:ascii="Aptos" w:hAnsi="Aptos"/>
          <w:color w:val="201B52"/>
          <w:sz w:val="16"/>
          <w:szCs w:val="16"/>
          <w:lang w:val="en-US"/>
        </w:rPr>
      </w:pPr>
    </w:p>
    <w:p w14:paraId="3EB2CC5A" w14:textId="4DC1FB8B" w:rsidR="00CC2222" w:rsidRPr="00CC2222" w:rsidRDefault="00CC2222" w:rsidP="00CC2222">
      <w:pPr>
        <w:spacing w:after="120" w:line="240" w:lineRule="auto"/>
        <w:jc w:val="both"/>
        <w:rPr>
          <w:rFonts w:ascii="Aptos" w:hAnsi="Aptos"/>
          <w:color w:val="201B52"/>
          <w:sz w:val="24"/>
          <w:lang w:val="en-US"/>
        </w:rPr>
      </w:pPr>
      <w:r w:rsidRPr="00CC2222">
        <w:rPr>
          <w:rFonts w:ascii="Aptos" w:hAnsi="Aptos"/>
          <w:color w:val="201B52"/>
          <w:sz w:val="24"/>
          <w:lang w:val="en-US"/>
        </w:rPr>
        <w:t>The GLOBAL SUPERVISORY BODY FOR THE OPERATION AND COMPLIANCE WITH THE COMPLIANCE MODEL of MOLGAS ENERGY GROUP is made up of the following people:</w:t>
      </w:r>
    </w:p>
    <w:p w14:paraId="6C568052" w14:textId="77777777" w:rsidR="00CC2222" w:rsidRPr="00CC2222" w:rsidRDefault="00CC2222" w:rsidP="00CC2222">
      <w:pPr>
        <w:pStyle w:val="Prrafodelista"/>
        <w:numPr>
          <w:ilvl w:val="0"/>
          <w:numId w:val="4"/>
        </w:numPr>
        <w:spacing w:after="120"/>
        <w:ind w:left="1276" w:hanging="283"/>
        <w:jc w:val="both"/>
        <w:rPr>
          <w:rFonts w:ascii="Aptos" w:hAnsi="Aptos"/>
          <w:color w:val="201B52"/>
          <w:sz w:val="24"/>
          <w:szCs w:val="24"/>
        </w:rPr>
      </w:pPr>
      <w:proofErr w:type="spellStart"/>
      <w:r w:rsidRPr="00CC2222">
        <w:rPr>
          <w:rFonts w:ascii="Aptos" w:hAnsi="Aptos"/>
          <w:color w:val="201B52"/>
          <w:sz w:val="24"/>
          <w:szCs w:val="24"/>
        </w:rPr>
        <w:t>Mr</w:t>
      </w:r>
      <w:proofErr w:type="spellEnd"/>
      <w:r w:rsidRPr="00CC2222">
        <w:rPr>
          <w:rFonts w:ascii="Aptos" w:hAnsi="Aptos"/>
          <w:color w:val="201B52"/>
          <w:sz w:val="24"/>
          <w:szCs w:val="24"/>
        </w:rPr>
        <w:t xml:space="preserve"> </w:t>
      </w:r>
      <w:proofErr w:type="spellStart"/>
      <w:r w:rsidRPr="00CC2222">
        <w:rPr>
          <w:rFonts w:ascii="Aptos" w:hAnsi="Aptos"/>
          <w:color w:val="201B52"/>
          <w:sz w:val="24"/>
          <w:szCs w:val="24"/>
        </w:rPr>
        <w:t>Augustin</w:t>
      </w:r>
      <w:proofErr w:type="spellEnd"/>
      <w:r w:rsidRPr="00CC2222">
        <w:rPr>
          <w:rFonts w:ascii="Aptos" w:hAnsi="Aptos"/>
          <w:color w:val="201B52"/>
          <w:sz w:val="24"/>
          <w:szCs w:val="24"/>
        </w:rPr>
        <w:t xml:space="preserve"> Schneider-</w:t>
      </w:r>
      <w:proofErr w:type="spellStart"/>
      <w:r w:rsidRPr="00CC2222">
        <w:rPr>
          <w:rFonts w:ascii="Aptos" w:hAnsi="Aptos"/>
          <w:color w:val="201B52"/>
          <w:sz w:val="24"/>
          <w:szCs w:val="24"/>
        </w:rPr>
        <w:t>Maunoury</w:t>
      </w:r>
      <w:proofErr w:type="spellEnd"/>
      <w:r w:rsidRPr="00CC2222">
        <w:rPr>
          <w:rFonts w:ascii="Aptos" w:hAnsi="Aptos"/>
          <w:color w:val="201B52"/>
          <w:sz w:val="24"/>
          <w:szCs w:val="24"/>
        </w:rPr>
        <w:t xml:space="preserve"> </w:t>
      </w:r>
    </w:p>
    <w:p w14:paraId="4D85ABA5" w14:textId="77777777" w:rsidR="00CC2222" w:rsidRPr="00CC2222" w:rsidRDefault="00CC2222" w:rsidP="00CC2222">
      <w:pPr>
        <w:pStyle w:val="Prrafodelista"/>
        <w:numPr>
          <w:ilvl w:val="0"/>
          <w:numId w:val="4"/>
        </w:numPr>
        <w:spacing w:after="120"/>
        <w:ind w:left="1276" w:hanging="283"/>
        <w:jc w:val="both"/>
        <w:rPr>
          <w:rFonts w:ascii="Aptos" w:hAnsi="Aptos"/>
          <w:color w:val="201B52"/>
          <w:sz w:val="24"/>
          <w:szCs w:val="24"/>
        </w:rPr>
      </w:pPr>
      <w:r w:rsidRPr="00CC2222">
        <w:rPr>
          <w:rFonts w:ascii="Aptos" w:hAnsi="Aptos"/>
          <w:color w:val="201B52"/>
          <w:sz w:val="24"/>
          <w:szCs w:val="24"/>
        </w:rPr>
        <w:t xml:space="preserve">Mr. Javier Romeo Montes </w:t>
      </w:r>
    </w:p>
    <w:p w14:paraId="1C16BB53" w14:textId="77777777" w:rsidR="00CC2222" w:rsidRPr="00CC2222" w:rsidRDefault="00CC2222" w:rsidP="00CC2222">
      <w:pPr>
        <w:pStyle w:val="Prrafodelista"/>
        <w:numPr>
          <w:ilvl w:val="0"/>
          <w:numId w:val="4"/>
        </w:numPr>
        <w:spacing w:after="120"/>
        <w:ind w:left="1276" w:hanging="283"/>
        <w:jc w:val="both"/>
        <w:rPr>
          <w:rFonts w:ascii="Aptos" w:hAnsi="Aptos"/>
          <w:color w:val="201B52"/>
          <w:sz w:val="24"/>
          <w:szCs w:val="24"/>
        </w:rPr>
      </w:pPr>
      <w:r w:rsidRPr="00CC2222">
        <w:rPr>
          <w:rFonts w:ascii="Aptos" w:hAnsi="Aptos"/>
          <w:color w:val="201B52"/>
          <w:sz w:val="24"/>
          <w:szCs w:val="24"/>
        </w:rPr>
        <w:t xml:space="preserve">Ms. Esperanza Sánchez Ruiz </w:t>
      </w:r>
    </w:p>
    <w:p w14:paraId="2F1D2596" w14:textId="77777777" w:rsidR="00CC2222" w:rsidRPr="00CC2222" w:rsidRDefault="00CC2222" w:rsidP="00CC2222">
      <w:pPr>
        <w:pStyle w:val="Prrafodelista"/>
        <w:numPr>
          <w:ilvl w:val="0"/>
          <w:numId w:val="4"/>
        </w:numPr>
        <w:spacing w:after="120"/>
        <w:ind w:left="1276" w:hanging="283"/>
        <w:jc w:val="both"/>
        <w:rPr>
          <w:rFonts w:ascii="Aptos" w:hAnsi="Aptos"/>
          <w:color w:val="201B52"/>
          <w:sz w:val="24"/>
          <w:szCs w:val="24"/>
        </w:rPr>
      </w:pPr>
      <w:r w:rsidRPr="00CC2222">
        <w:rPr>
          <w:rFonts w:ascii="Aptos" w:hAnsi="Aptos"/>
          <w:color w:val="201B52"/>
          <w:sz w:val="24"/>
          <w:szCs w:val="24"/>
        </w:rPr>
        <w:t xml:space="preserve">Ms. Verónica Sánchez Valladares </w:t>
      </w:r>
      <w:proofErr w:type="spellStart"/>
      <w:r w:rsidRPr="00CC2222">
        <w:rPr>
          <w:rFonts w:ascii="Aptos" w:hAnsi="Aptos"/>
          <w:color w:val="201B52"/>
          <w:sz w:val="24"/>
          <w:szCs w:val="24"/>
        </w:rPr>
        <w:t>Rivada</w:t>
      </w:r>
      <w:proofErr w:type="spellEnd"/>
    </w:p>
    <w:p w14:paraId="0C37BB72" w14:textId="77777777" w:rsidR="00CC2222" w:rsidRPr="00CC2222" w:rsidRDefault="00CC2222" w:rsidP="00CC2222">
      <w:pPr>
        <w:pStyle w:val="Prrafodelista"/>
        <w:spacing w:after="120"/>
        <w:ind w:left="1276"/>
        <w:jc w:val="both"/>
        <w:rPr>
          <w:rFonts w:ascii="Aptos" w:hAnsi="Aptos"/>
          <w:color w:val="201B52"/>
        </w:rPr>
      </w:pPr>
    </w:p>
    <w:p w14:paraId="511EB09F" w14:textId="77777777" w:rsidR="00CC2222" w:rsidRPr="00CC2222" w:rsidRDefault="00CC2222" w:rsidP="00CC2222">
      <w:pPr>
        <w:spacing w:after="120" w:line="240" w:lineRule="auto"/>
        <w:jc w:val="both"/>
        <w:rPr>
          <w:rFonts w:ascii="Aptos" w:hAnsi="Aptos"/>
          <w:color w:val="201B52"/>
          <w:sz w:val="24"/>
          <w:lang w:val="en-US"/>
        </w:rPr>
      </w:pPr>
      <w:r w:rsidRPr="00CC2222">
        <w:rPr>
          <w:rFonts w:ascii="Aptos" w:hAnsi="Aptos"/>
          <w:color w:val="201B52"/>
          <w:sz w:val="24"/>
          <w:lang w:val="en-US"/>
        </w:rPr>
        <w:t>The basic functions of this body are:</w:t>
      </w:r>
    </w:p>
    <w:p w14:paraId="216AA40C" w14:textId="77777777" w:rsidR="00CC2222" w:rsidRPr="00CC2222" w:rsidRDefault="00CC2222" w:rsidP="00CC2222">
      <w:pPr>
        <w:spacing w:after="120" w:line="240" w:lineRule="auto"/>
        <w:jc w:val="both"/>
        <w:rPr>
          <w:rFonts w:ascii="Aptos" w:hAnsi="Aptos"/>
          <w:color w:val="201B52"/>
          <w:sz w:val="16"/>
          <w:szCs w:val="16"/>
          <w:lang w:val="en-US"/>
        </w:rPr>
      </w:pPr>
    </w:p>
    <w:p w14:paraId="13242380" w14:textId="77777777" w:rsidR="00CC2222" w:rsidRPr="00CC2222" w:rsidRDefault="00CC2222" w:rsidP="00CC2222">
      <w:pPr>
        <w:pStyle w:val="VIETA2"/>
        <w:numPr>
          <w:ilvl w:val="0"/>
          <w:numId w:val="3"/>
        </w:numPr>
        <w:spacing w:after="120"/>
        <w:jc w:val="both"/>
        <w:rPr>
          <w:rFonts w:ascii="Aptos" w:hAnsi="Aptos"/>
          <w:color w:val="201B52"/>
          <w:sz w:val="24"/>
          <w:szCs w:val="24"/>
          <w:lang w:val="en-US"/>
        </w:rPr>
      </w:pPr>
      <w:r w:rsidRPr="00CC2222">
        <w:rPr>
          <w:rFonts w:ascii="Aptos" w:hAnsi="Aptos"/>
          <w:color w:val="201B52"/>
          <w:sz w:val="24"/>
          <w:szCs w:val="24"/>
          <w:lang w:val="en-US"/>
        </w:rPr>
        <w:t>The preparation and updating of the COMPLIANCE HANDBOOK, as a strategic reference for its COMPLIANCE policy around the world and for the different Comprehensive Systems for the Prevention and Management of Legal and Criminal Risks (Comprehensive Compliance Models) of the commercial companies that make it up.</w:t>
      </w:r>
    </w:p>
    <w:p w14:paraId="6C728F62" w14:textId="77777777" w:rsidR="00CC2222" w:rsidRPr="00CC2222" w:rsidRDefault="00CC2222" w:rsidP="00CC2222">
      <w:pPr>
        <w:pStyle w:val="VIETA2"/>
        <w:numPr>
          <w:ilvl w:val="0"/>
          <w:numId w:val="0"/>
        </w:numPr>
        <w:spacing w:after="120"/>
        <w:jc w:val="both"/>
        <w:rPr>
          <w:rFonts w:ascii="Aptos" w:hAnsi="Aptos"/>
          <w:color w:val="201B52"/>
          <w:sz w:val="16"/>
          <w:szCs w:val="16"/>
          <w:lang w:val="en-US"/>
        </w:rPr>
      </w:pPr>
    </w:p>
    <w:p w14:paraId="01F3910D" w14:textId="77777777" w:rsidR="00CC2222" w:rsidRPr="00CC2222" w:rsidRDefault="00CC2222" w:rsidP="00CC2222">
      <w:pPr>
        <w:pStyle w:val="VIETA2"/>
        <w:numPr>
          <w:ilvl w:val="0"/>
          <w:numId w:val="3"/>
        </w:numPr>
        <w:spacing w:after="120"/>
        <w:jc w:val="both"/>
        <w:rPr>
          <w:rFonts w:ascii="Aptos" w:hAnsi="Aptos"/>
          <w:color w:val="201B52"/>
          <w:sz w:val="24"/>
          <w:szCs w:val="24"/>
          <w:lang w:val="en-US"/>
        </w:rPr>
      </w:pPr>
      <w:r w:rsidRPr="00CC2222">
        <w:rPr>
          <w:rFonts w:ascii="Aptos" w:hAnsi="Aptos"/>
          <w:color w:val="201B52"/>
          <w:sz w:val="24"/>
          <w:szCs w:val="24"/>
          <w:lang w:val="en-US"/>
        </w:rPr>
        <w:t>Ensuring the proper functioning of the previous Compliance Models, through the establishment of the appropriate auditing, surveillance and control bodies in each commercial company, forming part of them.</w:t>
      </w:r>
    </w:p>
    <w:p w14:paraId="78104928" w14:textId="77777777" w:rsidR="00CC2222" w:rsidRDefault="00CC2222" w:rsidP="00CC2222">
      <w:pPr>
        <w:pStyle w:val="VIETA2"/>
        <w:numPr>
          <w:ilvl w:val="0"/>
          <w:numId w:val="0"/>
        </w:numPr>
        <w:spacing w:after="120"/>
        <w:ind w:left="720"/>
        <w:jc w:val="both"/>
        <w:rPr>
          <w:rFonts w:ascii="Aptos" w:hAnsi="Aptos"/>
          <w:color w:val="201B52"/>
          <w:sz w:val="16"/>
          <w:szCs w:val="16"/>
          <w:lang w:val="en-US"/>
        </w:rPr>
      </w:pPr>
    </w:p>
    <w:p w14:paraId="4759985A" w14:textId="77777777" w:rsidR="00CC2222" w:rsidRPr="00CC2222" w:rsidRDefault="00CC2222" w:rsidP="00CC2222">
      <w:pPr>
        <w:pStyle w:val="VIETA2"/>
        <w:numPr>
          <w:ilvl w:val="0"/>
          <w:numId w:val="0"/>
        </w:numPr>
        <w:spacing w:after="120"/>
        <w:ind w:left="720"/>
        <w:jc w:val="both"/>
        <w:rPr>
          <w:rFonts w:ascii="Aptos" w:hAnsi="Aptos"/>
          <w:color w:val="201B52"/>
          <w:sz w:val="16"/>
          <w:szCs w:val="16"/>
          <w:lang w:val="en-US"/>
        </w:rPr>
      </w:pPr>
    </w:p>
    <w:p w14:paraId="23D36E89" w14:textId="77777777" w:rsidR="00CC2222" w:rsidRPr="00CC2222" w:rsidRDefault="00CC2222" w:rsidP="00CC2222">
      <w:pPr>
        <w:pStyle w:val="VIETA2"/>
        <w:numPr>
          <w:ilvl w:val="0"/>
          <w:numId w:val="0"/>
        </w:numPr>
        <w:spacing w:after="120"/>
        <w:jc w:val="both"/>
        <w:rPr>
          <w:rFonts w:ascii="Aptos" w:hAnsi="Aptos"/>
          <w:color w:val="201B52"/>
          <w:sz w:val="24"/>
          <w:szCs w:val="24"/>
          <w:lang w:val="en-US"/>
        </w:rPr>
      </w:pPr>
      <w:r w:rsidRPr="00CC2222">
        <w:rPr>
          <w:rFonts w:ascii="Aptos" w:hAnsi="Aptos"/>
          <w:color w:val="201B52"/>
          <w:sz w:val="24"/>
          <w:szCs w:val="24"/>
          <w:lang w:val="en-US"/>
        </w:rPr>
        <w:lastRenderedPageBreak/>
        <w:t xml:space="preserve">To make it operational, the GLOBAL COMPLIANCE UNIT of MOLGAS ENERGY GROUP is created, in direct dependence on this GLOBAL SUPERVISORY BODY, whose head is Mr. Javier Romeo Montes, as </w:t>
      </w:r>
      <w:r w:rsidRPr="00CC2222">
        <w:rPr>
          <w:rFonts w:ascii="Aptos" w:hAnsi="Aptos"/>
          <w:i/>
          <w:iCs/>
          <w:color w:val="201B52"/>
          <w:sz w:val="24"/>
          <w:szCs w:val="24"/>
          <w:lang w:val="en-US"/>
        </w:rPr>
        <w:t>Global Compliance Officer</w:t>
      </w:r>
      <w:r w:rsidRPr="00CC2222">
        <w:rPr>
          <w:rFonts w:ascii="Aptos" w:hAnsi="Aptos"/>
          <w:color w:val="201B52"/>
          <w:sz w:val="24"/>
          <w:szCs w:val="24"/>
          <w:lang w:val="en-US"/>
        </w:rPr>
        <w:t xml:space="preserve">, assisted by Ms. Verónica Sánchez Valladares </w:t>
      </w:r>
      <w:proofErr w:type="spellStart"/>
      <w:r w:rsidRPr="00CC2222">
        <w:rPr>
          <w:rFonts w:ascii="Aptos" w:hAnsi="Aptos"/>
          <w:color w:val="201B52"/>
          <w:sz w:val="24"/>
          <w:szCs w:val="24"/>
          <w:lang w:val="en-US"/>
        </w:rPr>
        <w:t>Rivada</w:t>
      </w:r>
      <w:proofErr w:type="spellEnd"/>
      <w:r w:rsidRPr="00CC2222">
        <w:rPr>
          <w:rFonts w:ascii="Aptos" w:hAnsi="Aptos"/>
          <w:color w:val="201B52"/>
          <w:sz w:val="24"/>
          <w:szCs w:val="24"/>
          <w:lang w:val="en-US"/>
        </w:rPr>
        <w:t xml:space="preserve">, as </w:t>
      </w:r>
      <w:r w:rsidRPr="00CC2222">
        <w:rPr>
          <w:rFonts w:ascii="Aptos" w:hAnsi="Aptos"/>
          <w:i/>
          <w:iCs/>
          <w:color w:val="201B52"/>
          <w:sz w:val="24"/>
          <w:szCs w:val="24"/>
          <w:lang w:val="en-US"/>
        </w:rPr>
        <w:t>Global Compliance Coordinator</w:t>
      </w:r>
      <w:r w:rsidRPr="00CC2222">
        <w:rPr>
          <w:rFonts w:ascii="Aptos" w:hAnsi="Aptos"/>
          <w:color w:val="201B52"/>
          <w:sz w:val="24"/>
          <w:szCs w:val="24"/>
          <w:lang w:val="en-US"/>
        </w:rPr>
        <w:t xml:space="preserve">. </w:t>
      </w:r>
    </w:p>
    <w:p w14:paraId="01443080" w14:textId="77777777" w:rsidR="00CC2222" w:rsidRPr="00CC2222" w:rsidRDefault="00CC2222" w:rsidP="00CC2222">
      <w:pPr>
        <w:pStyle w:val="VIETA2"/>
        <w:numPr>
          <w:ilvl w:val="0"/>
          <w:numId w:val="0"/>
        </w:numPr>
        <w:spacing w:after="120"/>
        <w:jc w:val="both"/>
        <w:rPr>
          <w:rFonts w:ascii="Aptos" w:hAnsi="Aptos"/>
          <w:color w:val="201B52"/>
          <w:sz w:val="16"/>
          <w:szCs w:val="16"/>
          <w:lang w:val="en-US"/>
        </w:rPr>
      </w:pPr>
    </w:p>
    <w:p w14:paraId="300550DA" w14:textId="77777777" w:rsidR="00CC2222" w:rsidRPr="00CC2222" w:rsidRDefault="00CC2222" w:rsidP="00CC2222">
      <w:pPr>
        <w:pStyle w:val="VIETA2"/>
        <w:numPr>
          <w:ilvl w:val="0"/>
          <w:numId w:val="0"/>
        </w:numPr>
        <w:spacing w:after="120"/>
        <w:jc w:val="both"/>
        <w:rPr>
          <w:rFonts w:ascii="Aptos" w:hAnsi="Aptos"/>
          <w:color w:val="201B52"/>
          <w:sz w:val="24"/>
          <w:szCs w:val="24"/>
          <w:lang w:val="en-US"/>
        </w:rPr>
      </w:pPr>
      <w:r w:rsidRPr="00CC2222">
        <w:rPr>
          <w:rFonts w:ascii="Aptos" w:hAnsi="Aptos"/>
          <w:color w:val="201B52"/>
          <w:sz w:val="24"/>
          <w:szCs w:val="24"/>
          <w:lang w:val="en-US"/>
        </w:rPr>
        <w:t xml:space="preserve">Each subsidiary or investee will have a </w:t>
      </w:r>
      <w:r w:rsidRPr="00CC2222">
        <w:rPr>
          <w:rFonts w:ascii="Aptos" w:hAnsi="Aptos"/>
          <w:i/>
          <w:iCs/>
          <w:color w:val="201B52"/>
          <w:sz w:val="24"/>
          <w:szCs w:val="24"/>
          <w:lang w:val="en-US"/>
        </w:rPr>
        <w:t>Compliance Coordinator</w:t>
      </w:r>
      <w:r w:rsidRPr="00CC2222">
        <w:rPr>
          <w:rFonts w:ascii="Aptos" w:hAnsi="Aptos"/>
          <w:color w:val="201B52"/>
          <w:sz w:val="24"/>
          <w:szCs w:val="24"/>
          <w:lang w:val="en-US"/>
        </w:rPr>
        <w:t xml:space="preserve">, directly dependent on the GLOBAL COMPLIANCE UNIT, who will be responsible for applying the content of this COMPLIANCE HANDBOOK and, if it is mandatory to create, for </w:t>
      </w:r>
      <w:proofErr w:type="spellStart"/>
      <w:r w:rsidRPr="00CC2222">
        <w:rPr>
          <w:rFonts w:ascii="Aptos" w:hAnsi="Aptos"/>
          <w:color w:val="201B52"/>
          <w:sz w:val="24"/>
          <w:szCs w:val="24"/>
          <w:lang w:val="en-US"/>
        </w:rPr>
        <w:t>organising</w:t>
      </w:r>
      <w:proofErr w:type="spellEnd"/>
      <w:r w:rsidRPr="00CC2222">
        <w:rPr>
          <w:rFonts w:ascii="Aptos" w:hAnsi="Aptos"/>
          <w:color w:val="201B52"/>
          <w:sz w:val="24"/>
          <w:szCs w:val="24"/>
          <w:lang w:val="en-US"/>
        </w:rPr>
        <w:t xml:space="preserve"> and managing the Supervisory Body of each subsidiary or investee.</w:t>
      </w:r>
    </w:p>
    <w:p w14:paraId="56FB976F" w14:textId="77777777" w:rsidR="00CC2222" w:rsidRPr="00CC2222" w:rsidRDefault="00CC2222" w:rsidP="00CC2222">
      <w:pPr>
        <w:spacing w:after="120" w:line="240" w:lineRule="auto"/>
        <w:jc w:val="both"/>
        <w:rPr>
          <w:rFonts w:ascii="Aptos" w:hAnsi="Aptos"/>
          <w:color w:val="201B52"/>
          <w:sz w:val="24"/>
          <w:lang w:val="en-US"/>
        </w:rPr>
      </w:pPr>
      <w:r w:rsidRPr="00CC2222">
        <w:rPr>
          <w:rFonts w:ascii="Aptos" w:hAnsi="Aptos"/>
          <w:color w:val="201B52"/>
          <w:sz w:val="24"/>
          <w:lang w:val="en-US"/>
        </w:rPr>
        <w:t>Thus, the COMPLIANCE STRUCTURE of MOLGAS ENERGY GROUP is configured as follows:</w:t>
      </w:r>
    </w:p>
    <w:p w14:paraId="0CED534F" w14:textId="77777777" w:rsidR="00CC2222" w:rsidRPr="00CC2222" w:rsidRDefault="00CC2222" w:rsidP="00CC2222">
      <w:pPr>
        <w:spacing w:after="120" w:line="240" w:lineRule="auto"/>
        <w:jc w:val="both"/>
        <w:rPr>
          <w:rFonts w:ascii="Aptos" w:hAnsi="Aptos"/>
          <w:color w:val="201B52"/>
          <w:sz w:val="24"/>
          <w:lang w:val="en-US"/>
        </w:rPr>
      </w:pPr>
    </w:p>
    <w:p w14:paraId="07A1AEA2" w14:textId="77777777" w:rsidR="00CC2222" w:rsidRPr="00CC2222" w:rsidRDefault="00CC2222" w:rsidP="00CC2222">
      <w:pPr>
        <w:spacing w:after="120" w:line="240" w:lineRule="auto"/>
        <w:rPr>
          <w:rFonts w:ascii="Aptos" w:hAnsi="Aptos"/>
          <w:color w:val="201B52"/>
        </w:rPr>
      </w:pPr>
      <w:r w:rsidRPr="00CC2222">
        <w:rPr>
          <w:rFonts w:ascii="Aptos" w:hAnsi="Aptos"/>
          <w:noProof/>
          <w:color w:val="201B52"/>
        </w:rPr>
        <w:drawing>
          <wp:inline distT="0" distB="0" distL="0" distR="0" wp14:anchorId="60B5216A" wp14:editId="1FCFD1ED">
            <wp:extent cx="5831840" cy="3280410"/>
            <wp:effectExtent l="0" t="0" r="0" b="0"/>
            <wp:docPr id="7" name="Gráfico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831840" cy="3280410"/>
                    </a:xfrm>
                    <a:prstGeom prst="rect">
                      <a:avLst/>
                    </a:prstGeom>
                  </pic:spPr>
                </pic:pic>
              </a:graphicData>
            </a:graphic>
          </wp:inline>
        </w:drawing>
      </w:r>
    </w:p>
    <w:p w14:paraId="4ED9084C" w14:textId="63EB1C89" w:rsidR="00356A0C" w:rsidRPr="00E1301A" w:rsidRDefault="00356A0C" w:rsidP="00CC2222">
      <w:pPr>
        <w:spacing w:after="120" w:line="240" w:lineRule="auto"/>
        <w:rPr>
          <w:rFonts w:ascii="Aptos" w:hAnsi="Aptos"/>
          <w:color w:val="201B52"/>
        </w:rPr>
      </w:pPr>
    </w:p>
    <w:p w14:paraId="38A25E95" w14:textId="77777777" w:rsidR="00CC2222" w:rsidRPr="00E1301A" w:rsidRDefault="00CC2222" w:rsidP="00CC2222">
      <w:pPr>
        <w:spacing w:after="120" w:line="240" w:lineRule="auto"/>
        <w:rPr>
          <w:rFonts w:ascii="Aptos" w:hAnsi="Aptos"/>
          <w:color w:val="201B52"/>
        </w:rPr>
      </w:pPr>
    </w:p>
    <w:sectPr w:rsidR="00CC2222" w:rsidRPr="00E1301A" w:rsidSect="00107DE8">
      <w:headerReference w:type="even" r:id="rId9"/>
      <w:headerReference w:type="default" r:id="rId10"/>
      <w:footerReference w:type="even" r:id="rId11"/>
      <w:footerReference w:type="default" r:id="rId12"/>
      <w:headerReference w:type="first" r:id="rId13"/>
      <w:footerReference w:type="first" r:id="rId14"/>
      <w:pgSz w:w="11899" w:h="16895"/>
      <w:pgMar w:top="2665" w:right="1701" w:bottom="1985" w:left="1701" w:header="851"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8DDE" w14:textId="77777777" w:rsidR="00EF62E3" w:rsidRDefault="00EF62E3" w:rsidP="00136351">
      <w:pPr>
        <w:spacing w:after="0" w:line="240" w:lineRule="auto"/>
      </w:pPr>
      <w:r>
        <w:separator/>
      </w:r>
    </w:p>
  </w:endnote>
  <w:endnote w:type="continuationSeparator" w:id="0">
    <w:p w14:paraId="0147A87E" w14:textId="77777777" w:rsidR="00EF62E3" w:rsidRDefault="00EF62E3" w:rsidP="00136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Medium">
    <w:altName w:val="Calibri"/>
    <w:panose1 w:val="00000000000000000000"/>
    <w:charset w:val="00"/>
    <w:family w:val="auto"/>
    <w:pitch w:val="variable"/>
    <w:sig w:usb0="A100007F" w:usb1="4000005B" w:usb2="00000000" w:usb3="00000000" w:csb0="0000009B" w:csb1="00000000"/>
  </w:font>
  <w:font w:name="Calibri">
    <w:panose1 w:val="020F0502020204030204"/>
    <w:charset w:val="00"/>
    <w:family w:val="swiss"/>
    <w:pitch w:val="variable"/>
    <w:sig w:usb0="E4002EFF" w:usb1="C200247B" w:usb2="00000009" w:usb3="00000000" w:csb0="000001FF" w:csb1="00000000"/>
  </w:font>
  <w:font w:name="Gotham Light">
    <w:altName w:val="Calibri"/>
    <w:panose1 w:val="00000000000000000000"/>
    <w:charset w:val="00"/>
    <w:family w:val="auto"/>
    <w:pitch w:val="variable"/>
    <w:sig w:usb0="A100007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F2708" w14:textId="77777777" w:rsidR="00584E63" w:rsidRDefault="00584E6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5CE84" w14:textId="77777777" w:rsidR="00584E63" w:rsidRDefault="00584E6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DD9C" w14:textId="77777777" w:rsidR="00584E63" w:rsidRDefault="00584E6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7B880" w14:textId="77777777" w:rsidR="00EF62E3" w:rsidRDefault="00EF62E3" w:rsidP="00136351">
      <w:pPr>
        <w:spacing w:after="0" w:line="240" w:lineRule="auto"/>
      </w:pPr>
      <w:r>
        <w:separator/>
      </w:r>
    </w:p>
  </w:footnote>
  <w:footnote w:type="continuationSeparator" w:id="0">
    <w:p w14:paraId="514F892C" w14:textId="77777777" w:rsidR="00EF62E3" w:rsidRDefault="00EF62E3" w:rsidP="00136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B23F" w14:textId="77777777" w:rsidR="00584E63" w:rsidRDefault="00584E6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8F2C8" w14:textId="77777777" w:rsidR="00136351" w:rsidRPr="00107DE8" w:rsidRDefault="00107DE8" w:rsidP="00107DE8">
    <w:pPr>
      <w:pStyle w:val="Encabezado"/>
    </w:pPr>
    <w:r>
      <w:rPr>
        <w:noProof/>
      </w:rPr>
      <w:drawing>
        <wp:anchor distT="0" distB="0" distL="114300" distR="114300" simplePos="0" relativeHeight="251658240" behindDoc="1" locked="0" layoutInCell="1" allowOverlap="1" wp14:anchorId="625A6BA4" wp14:editId="41E04EF7">
          <wp:simplePos x="0" y="0"/>
          <wp:positionH relativeFrom="column">
            <wp:posOffset>-1131837</wp:posOffset>
          </wp:positionH>
          <wp:positionV relativeFrom="paragraph">
            <wp:posOffset>-557638</wp:posOffset>
          </wp:positionV>
          <wp:extent cx="7587079" cy="10780295"/>
          <wp:effectExtent l="0" t="0" r="0" b="2540"/>
          <wp:wrapNone/>
          <wp:docPr id="15203612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36121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587079" cy="1078029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967B" w14:textId="77777777" w:rsidR="00584E63" w:rsidRDefault="00584E6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A0352"/>
    <w:multiLevelType w:val="hybridMultilevel"/>
    <w:tmpl w:val="DDE05F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67C4F31"/>
    <w:multiLevelType w:val="hybridMultilevel"/>
    <w:tmpl w:val="8C843BAC"/>
    <w:lvl w:ilvl="0" w:tplc="E8189E70">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1415EA8"/>
    <w:multiLevelType w:val="hybridMultilevel"/>
    <w:tmpl w:val="749C29FE"/>
    <w:lvl w:ilvl="0" w:tplc="0C0A0005">
      <w:start w:val="1"/>
      <w:numFmt w:val="bullet"/>
      <w:lvlText w:val=""/>
      <w:lvlJc w:val="left"/>
      <w:pPr>
        <w:ind w:left="360" w:hanging="360"/>
      </w:pPr>
      <w:rPr>
        <w:rFonts w:ascii="Wingdings" w:hAnsi="Wingdings" w:hint="default"/>
      </w:rPr>
    </w:lvl>
    <w:lvl w:ilvl="1" w:tplc="4E905458">
      <w:start w:val="1"/>
      <w:numFmt w:val="upperRoman"/>
      <w:pStyle w:val="VIETA2"/>
      <w:lvlText w:val="%2."/>
      <w:lvlJc w:val="right"/>
      <w:pPr>
        <w:ind w:left="502" w:hanging="360"/>
      </w:pPr>
      <w:rPr>
        <w:rFonts w:ascii="Gotham Medium" w:hAnsi="Gotham Medium" w:hint="default"/>
        <w:color w:val="7C505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7FF47C1E"/>
    <w:multiLevelType w:val="hybridMultilevel"/>
    <w:tmpl w:val="1F8CC4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5735981">
    <w:abstractNumId w:val="3"/>
  </w:num>
  <w:num w:numId="2" w16cid:durableId="1849442865">
    <w:abstractNumId w:val="2"/>
  </w:num>
  <w:num w:numId="3" w16cid:durableId="376592886">
    <w:abstractNumId w:val="1"/>
  </w:num>
  <w:num w:numId="4" w16cid:durableId="184292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A0C"/>
    <w:rsid w:val="00107DE8"/>
    <w:rsid w:val="00136351"/>
    <w:rsid w:val="002B7634"/>
    <w:rsid w:val="00356A0C"/>
    <w:rsid w:val="004916A5"/>
    <w:rsid w:val="0051290F"/>
    <w:rsid w:val="005231DC"/>
    <w:rsid w:val="00584E63"/>
    <w:rsid w:val="006D19EA"/>
    <w:rsid w:val="00915D29"/>
    <w:rsid w:val="00C11265"/>
    <w:rsid w:val="00CC2222"/>
    <w:rsid w:val="00E1301A"/>
    <w:rsid w:val="00EE2A17"/>
    <w:rsid w:val="00EF62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A9C2A"/>
  <w15:docId w15:val="{DE852CEE-4231-D447-9983-26731AA52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63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36351"/>
    <w:rPr>
      <w:rFonts w:ascii="Calibri" w:eastAsia="Calibri" w:hAnsi="Calibri" w:cs="Calibri"/>
      <w:color w:val="000000"/>
      <w:sz w:val="22"/>
    </w:rPr>
  </w:style>
  <w:style w:type="paragraph" w:styleId="Piedepgina">
    <w:name w:val="footer"/>
    <w:basedOn w:val="Normal"/>
    <w:link w:val="PiedepginaCar"/>
    <w:uiPriority w:val="99"/>
    <w:unhideWhenUsed/>
    <w:rsid w:val="001363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36351"/>
    <w:rPr>
      <w:rFonts w:ascii="Calibri" w:eastAsia="Calibri" w:hAnsi="Calibri" w:cs="Calibri"/>
      <w:color w:val="000000"/>
      <w:sz w:val="22"/>
    </w:rPr>
  </w:style>
  <w:style w:type="paragraph" w:styleId="Prrafodelista">
    <w:name w:val="List Paragraph"/>
    <w:basedOn w:val="Normal"/>
    <w:link w:val="PrrafodelistaCar"/>
    <w:uiPriority w:val="34"/>
    <w:qFormat/>
    <w:rsid w:val="00C11265"/>
    <w:pPr>
      <w:spacing w:after="0" w:line="240" w:lineRule="auto"/>
      <w:ind w:left="720"/>
      <w:contextualSpacing/>
    </w:pPr>
    <w:rPr>
      <w:rFonts w:asciiTheme="minorHAnsi" w:eastAsiaTheme="minorHAnsi" w:hAnsiTheme="minorHAnsi" w:cstheme="minorBidi"/>
      <w:color w:val="auto"/>
      <w:kern w:val="0"/>
      <w:szCs w:val="22"/>
      <w:lang w:eastAsia="en-US"/>
      <w14:ligatures w14:val="none"/>
    </w:rPr>
  </w:style>
  <w:style w:type="paragraph" w:customStyle="1" w:styleId="Tit1">
    <w:name w:val="Tit1"/>
    <w:basedOn w:val="Normal"/>
    <w:link w:val="Tit1Car"/>
    <w:qFormat/>
    <w:rsid w:val="00C11265"/>
    <w:pPr>
      <w:spacing w:after="0" w:line="240" w:lineRule="auto"/>
      <w:ind w:left="426" w:hanging="426"/>
      <w:jc w:val="both"/>
    </w:pPr>
    <w:rPr>
      <w:rFonts w:ascii="Gotham Medium" w:eastAsiaTheme="minorHAnsi" w:hAnsi="Gotham Medium" w:cstheme="minorBidi"/>
      <w:b/>
      <w:color w:val="2F5496" w:themeColor="accent1" w:themeShade="BF"/>
      <w:kern w:val="0"/>
      <w:sz w:val="24"/>
      <w:lang w:eastAsia="en-US"/>
      <w14:ligatures w14:val="none"/>
    </w:rPr>
  </w:style>
  <w:style w:type="character" w:customStyle="1" w:styleId="Tit1Car">
    <w:name w:val="Tit1 Car"/>
    <w:basedOn w:val="Fuentedeprrafopredeter"/>
    <w:link w:val="Tit1"/>
    <w:rsid w:val="00C11265"/>
    <w:rPr>
      <w:rFonts w:ascii="Gotham Medium" w:eastAsiaTheme="minorHAnsi" w:hAnsi="Gotham Medium"/>
      <w:b/>
      <w:color w:val="2F5496" w:themeColor="accent1" w:themeShade="BF"/>
      <w:kern w:val="0"/>
      <w:lang w:eastAsia="en-US"/>
      <w14:ligatures w14:val="none"/>
    </w:rPr>
  </w:style>
  <w:style w:type="character" w:customStyle="1" w:styleId="PrrafodelistaCar">
    <w:name w:val="Párrafo de lista Car"/>
    <w:basedOn w:val="Fuentedeprrafopredeter"/>
    <w:link w:val="Prrafodelista"/>
    <w:uiPriority w:val="34"/>
    <w:rsid w:val="00C11265"/>
    <w:rPr>
      <w:rFonts w:eastAsiaTheme="minorHAnsi"/>
      <w:kern w:val="0"/>
      <w:sz w:val="22"/>
      <w:szCs w:val="22"/>
      <w:lang w:eastAsia="en-US"/>
      <w14:ligatures w14:val="none"/>
    </w:rPr>
  </w:style>
  <w:style w:type="paragraph" w:customStyle="1" w:styleId="VIETA2">
    <w:name w:val="VIÑETA 2"/>
    <w:basedOn w:val="Prrafodelista"/>
    <w:qFormat/>
    <w:rsid w:val="00CC2222"/>
    <w:pPr>
      <w:numPr>
        <w:ilvl w:val="1"/>
        <w:numId w:val="2"/>
      </w:numPr>
      <w:autoSpaceDE w:val="0"/>
      <w:autoSpaceDN w:val="0"/>
      <w:adjustRightInd w:val="0"/>
      <w:spacing w:after="60"/>
      <w:contextualSpacing w:val="0"/>
    </w:pPr>
    <w:rPr>
      <w:rFonts w:ascii="Gotham Light" w:hAnsi="Gotham Light" w:cs="Arial"/>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1982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CUSTOMER_A4_MOLGAS _DESIGN (text) copia</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CUSTOMER_A4_MOLGAS _DESIGN (text) copia</dc:title>
  <dc:subject/>
  <dc:creator>Microsoft Office User</dc:creator>
  <cp:keywords/>
  <cp:lastModifiedBy>Lidia Almendariz</cp:lastModifiedBy>
  <cp:revision>2</cp:revision>
  <cp:lastPrinted>2025-03-06T08:24:00Z</cp:lastPrinted>
  <dcterms:created xsi:type="dcterms:W3CDTF">2025-03-06T08:26:00Z</dcterms:created>
  <dcterms:modified xsi:type="dcterms:W3CDTF">2025-03-06T08:26:00Z</dcterms:modified>
</cp:coreProperties>
</file>